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B5" w:rsidRDefault="00706AB5" w:rsidP="00706AB5">
      <w:pPr>
        <w:rPr>
          <w:rFonts w:ascii="宋体" w:hAnsi="宋体"/>
          <w:b/>
          <w:sz w:val="32"/>
          <w:szCs w:val="32"/>
        </w:rPr>
      </w:pPr>
      <w:r>
        <w:rPr>
          <w:rFonts w:ascii="仿宋_GB2312" w:eastAsia="仿宋_GB2312" w:hint="eastAsia"/>
          <w:sz w:val="30"/>
          <w:szCs w:val="30"/>
        </w:rPr>
        <w:t>附件</w:t>
      </w:r>
    </w:p>
    <w:p w:rsidR="00706AB5" w:rsidRDefault="00706AB5" w:rsidP="00706AB5">
      <w:pPr>
        <w:spacing w:line="560" w:lineRule="exact"/>
        <w:jc w:val="center"/>
        <w:rPr>
          <w:rFonts w:ascii="方正小标宋简体" w:eastAsia="方正小标宋简体" w:hAnsi="宋体"/>
          <w:sz w:val="44"/>
          <w:szCs w:val="44"/>
        </w:rPr>
      </w:pPr>
      <w:r w:rsidRPr="005C16B4">
        <w:rPr>
          <w:rFonts w:ascii="方正小标宋简体" w:eastAsia="方正小标宋简体" w:hAnsi="宋体" w:hint="eastAsia"/>
          <w:sz w:val="44"/>
          <w:szCs w:val="44"/>
        </w:rPr>
        <w:t>广西桂东电力股份有限公司2018年</w:t>
      </w:r>
    </w:p>
    <w:p w:rsidR="00706AB5" w:rsidRPr="005C16B4" w:rsidRDefault="00706AB5" w:rsidP="00706AB5">
      <w:pPr>
        <w:spacing w:line="560" w:lineRule="exact"/>
        <w:jc w:val="center"/>
        <w:rPr>
          <w:rFonts w:ascii="方正小标宋简体" w:eastAsia="方正小标宋简体" w:hAnsi="宋体"/>
          <w:sz w:val="44"/>
          <w:szCs w:val="44"/>
        </w:rPr>
      </w:pPr>
      <w:r w:rsidRPr="005C16B4">
        <w:rPr>
          <w:rFonts w:ascii="方正小标宋简体" w:eastAsia="方正小标宋简体" w:hAnsi="宋体" w:hint="eastAsia"/>
          <w:sz w:val="44"/>
          <w:szCs w:val="44"/>
        </w:rPr>
        <w:t>桂东电网有序用电方案</w:t>
      </w:r>
    </w:p>
    <w:p w:rsidR="00706AB5" w:rsidRPr="005330F8" w:rsidRDefault="00706AB5" w:rsidP="00706AB5">
      <w:pPr>
        <w:rPr>
          <w:rFonts w:ascii="宋体" w:hAnsi="宋体"/>
          <w:sz w:val="30"/>
          <w:szCs w:val="30"/>
        </w:rPr>
      </w:pPr>
    </w:p>
    <w:p w:rsidR="00706AB5" w:rsidRPr="00A75ADB" w:rsidRDefault="00706AB5" w:rsidP="00A75ADB">
      <w:pPr>
        <w:ind w:firstLineChars="189" w:firstLine="605"/>
        <w:rPr>
          <w:rFonts w:ascii="黑体" w:eastAsia="黑体" w:hAnsi="黑体"/>
          <w:sz w:val="32"/>
          <w:szCs w:val="32"/>
        </w:rPr>
      </w:pPr>
      <w:r w:rsidRPr="00A75ADB">
        <w:rPr>
          <w:rFonts w:ascii="黑体" w:eastAsia="黑体" w:hAnsi="黑体" w:hint="eastAsia"/>
          <w:sz w:val="32"/>
          <w:szCs w:val="32"/>
        </w:rPr>
        <w:t>一、总体目标</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根据自治区工业和信息化委员会《关于印发2018年广西有序用电方案和广西有序有电预案的通知》（</w:t>
      </w:r>
      <w:proofErr w:type="gramStart"/>
      <w:r w:rsidRPr="005C16B4">
        <w:rPr>
          <w:rFonts w:ascii="仿宋_GB2312" w:eastAsia="仿宋_GB2312" w:hAnsi="宋体" w:hint="eastAsia"/>
          <w:sz w:val="32"/>
          <w:szCs w:val="32"/>
        </w:rPr>
        <w:t>桂工信运行</w:t>
      </w:r>
      <w:proofErr w:type="gramEnd"/>
      <w:r w:rsidR="009A24DC">
        <w:rPr>
          <w:rFonts w:ascii="仿宋_GB2312" w:eastAsia="仿宋_GB2312" w:hAnsi="宋体" w:hint="eastAsia"/>
          <w:sz w:val="32"/>
          <w:szCs w:val="32"/>
        </w:rPr>
        <w:t>〔</w:t>
      </w:r>
      <w:r w:rsidRPr="005C16B4">
        <w:rPr>
          <w:rFonts w:ascii="仿宋_GB2312" w:eastAsia="仿宋_GB2312" w:hAnsi="宋体" w:hint="eastAsia"/>
          <w:sz w:val="32"/>
          <w:szCs w:val="32"/>
        </w:rPr>
        <w:t>2018〕25号）精神，为做好桂东电网有序用电工作，我公司根据今年电力供需形势，提前谋划，及时制定相关预案措施，确保全年桂东电网电力供需平衡。</w:t>
      </w:r>
    </w:p>
    <w:p w:rsidR="00706AB5" w:rsidRPr="00A75ADB" w:rsidRDefault="00706AB5" w:rsidP="00A75ADB">
      <w:pPr>
        <w:ind w:firstLineChars="189" w:firstLine="605"/>
        <w:rPr>
          <w:rFonts w:ascii="黑体" w:eastAsia="黑体" w:hAnsi="黑体"/>
          <w:sz w:val="32"/>
          <w:szCs w:val="32"/>
        </w:rPr>
      </w:pPr>
      <w:r w:rsidRPr="00A75ADB">
        <w:rPr>
          <w:rFonts w:ascii="黑体" w:eastAsia="黑体" w:hAnsi="黑体" w:hint="eastAsia"/>
          <w:sz w:val="32"/>
          <w:szCs w:val="32"/>
        </w:rPr>
        <w:t>二、组织措施</w:t>
      </w:r>
    </w:p>
    <w:p w:rsidR="00706AB5" w:rsidRPr="00A75ADB" w:rsidRDefault="00706AB5" w:rsidP="00706AB5">
      <w:pPr>
        <w:autoSpaceDE w:val="0"/>
        <w:autoSpaceDN w:val="0"/>
        <w:adjustRightInd w:val="0"/>
        <w:ind w:firstLine="560"/>
        <w:rPr>
          <w:rFonts w:ascii="楷体" w:eastAsia="楷体" w:hAnsi="楷体" w:cs="宋体"/>
          <w:b/>
          <w:bCs/>
          <w:color w:val="000000"/>
          <w:sz w:val="32"/>
          <w:szCs w:val="32"/>
          <w:lang w:val="zh-CN"/>
        </w:rPr>
      </w:pPr>
      <w:r w:rsidRPr="00A75ADB">
        <w:rPr>
          <w:rFonts w:ascii="楷体" w:eastAsia="楷体" w:hAnsi="楷体" w:cs="宋体" w:hint="eastAsia"/>
          <w:b/>
          <w:bCs/>
          <w:color w:val="000000"/>
          <w:sz w:val="32"/>
          <w:szCs w:val="32"/>
          <w:lang w:val="zh-CN"/>
        </w:rPr>
        <w:t>（一）成立桂东电力有序用电工作领导小组</w:t>
      </w:r>
    </w:p>
    <w:p w:rsidR="00706AB5" w:rsidRPr="005C16B4" w:rsidRDefault="00706AB5" w:rsidP="00706AB5">
      <w:pPr>
        <w:autoSpaceDE w:val="0"/>
        <w:autoSpaceDN w:val="0"/>
        <w:adjustRightInd w:val="0"/>
        <w:ind w:firstLine="560"/>
        <w:rPr>
          <w:rFonts w:ascii="仿宋_GB2312" w:eastAsia="仿宋_GB2312" w:hAnsi="宋体" w:cs="宋体"/>
          <w:color w:val="000000"/>
          <w:sz w:val="32"/>
          <w:szCs w:val="32"/>
          <w:lang w:val="zh-CN"/>
        </w:rPr>
      </w:pPr>
      <w:r w:rsidRPr="005C16B4">
        <w:rPr>
          <w:rFonts w:ascii="仿宋_GB2312" w:eastAsia="仿宋_GB2312" w:hAnsi="宋体" w:cs="宋体" w:hint="eastAsia"/>
          <w:color w:val="000000"/>
          <w:sz w:val="32"/>
          <w:szCs w:val="32"/>
          <w:lang w:val="zh-CN"/>
        </w:rPr>
        <w:t>为做好2018年桂东电网有序用电工作，成立桂东电力有序用电工作领导小组：</w:t>
      </w:r>
    </w:p>
    <w:p w:rsidR="00706AB5" w:rsidRPr="005C16B4" w:rsidRDefault="00706AB5" w:rsidP="009225E1">
      <w:pPr>
        <w:tabs>
          <w:tab w:val="left" w:pos="4065"/>
        </w:tabs>
        <w:autoSpaceDE w:val="0"/>
        <w:autoSpaceDN w:val="0"/>
        <w:adjustRightInd w:val="0"/>
        <w:ind w:firstLineChars="200" w:firstLine="640"/>
        <w:rPr>
          <w:rFonts w:ascii="仿宋_GB2312" w:eastAsia="仿宋_GB2312" w:hAnsi="宋体"/>
          <w:color w:val="000000"/>
          <w:sz w:val="32"/>
          <w:szCs w:val="32"/>
        </w:rPr>
      </w:pPr>
      <w:r w:rsidRPr="005C16B4">
        <w:rPr>
          <w:rFonts w:ascii="仿宋_GB2312" w:eastAsia="仿宋_GB2312" w:hAnsi="宋体" w:cs="宋体" w:hint="eastAsia"/>
          <w:color w:val="000000"/>
          <w:sz w:val="32"/>
          <w:szCs w:val="32"/>
          <w:lang w:val="zh-CN"/>
        </w:rPr>
        <w:t>组</w:t>
      </w:r>
      <w:r w:rsidRPr="005C16B4">
        <w:rPr>
          <w:rFonts w:ascii="仿宋_GB2312" w:eastAsia="仿宋_GB2312" w:hAnsi="宋体" w:hint="eastAsia"/>
          <w:color w:val="000000"/>
          <w:sz w:val="32"/>
          <w:szCs w:val="32"/>
        </w:rPr>
        <w:t xml:space="preserve">  </w:t>
      </w:r>
      <w:r w:rsidRPr="005C16B4">
        <w:rPr>
          <w:rFonts w:ascii="仿宋_GB2312" w:eastAsia="仿宋_GB2312" w:hAnsi="宋体" w:cs="宋体" w:hint="eastAsia"/>
          <w:color w:val="000000"/>
          <w:sz w:val="32"/>
          <w:szCs w:val="32"/>
          <w:lang w:val="zh-CN"/>
        </w:rPr>
        <w:t>长：秦敏</w:t>
      </w:r>
    </w:p>
    <w:p w:rsidR="00706AB5" w:rsidRPr="005C16B4" w:rsidRDefault="00706AB5" w:rsidP="009225E1">
      <w:pPr>
        <w:autoSpaceDE w:val="0"/>
        <w:autoSpaceDN w:val="0"/>
        <w:adjustRightInd w:val="0"/>
        <w:ind w:firstLineChars="200" w:firstLine="640"/>
        <w:rPr>
          <w:rFonts w:ascii="仿宋_GB2312" w:eastAsia="仿宋_GB2312" w:hAnsi="宋体" w:cs="宋体"/>
          <w:color w:val="000000"/>
          <w:sz w:val="32"/>
          <w:szCs w:val="32"/>
          <w:lang w:val="zh-CN"/>
        </w:rPr>
      </w:pPr>
      <w:r w:rsidRPr="005C16B4">
        <w:rPr>
          <w:rFonts w:ascii="仿宋_GB2312" w:eastAsia="仿宋_GB2312" w:hAnsi="宋体" w:cs="宋体" w:hint="eastAsia"/>
          <w:color w:val="000000"/>
          <w:sz w:val="32"/>
          <w:szCs w:val="32"/>
          <w:lang w:val="zh-CN"/>
        </w:rPr>
        <w:t>副组长：温业雄</w:t>
      </w:r>
    </w:p>
    <w:p w:rsidR="00706AB5" w:rsidRPr="005C16B4" w:rsidRDefault="00706AB5" w:rsidP="009225E1">
      <w:pPr>
        <w:autoSpaceDE w:val="0"/>
        <w:autoSpaceDN w:val="0"/>
        <w:adjustRightInd w:val="0"/>
        <w:ind w:firstLineChars="200" w:firstLine="640"/>
        <w:rPr>
          <w:rFonts w:ascii="仿宋_GB2312" w:eastAsia="仿宋_GB2312" w:hAnsi="宋体" w:cs="宋体"/>
          <w:color w:val="000000"/>
          <w:sz w:val="32"/>
          <w:szCs w:val="32"/>
        </w:rPr>
      </w:pPr>
      <w:r w:rsidRPr="005C16B4">
        <w:rPr>
          <w:rFonts w:ascii="仿宋_GB2312" w:eastAsia="仿宋_GB2312" w:hAnsi="宋体" w:cs="宋体" w:hint="eastAsia"/>
          <w:color w:val="000000"/>
          <w:sz w:val="32"/>
          <w:szCs w:val="32"/>
          <w:lang w:val="zh-CN"/>
        </w:rPr>
        <w:t>成</w:t>
      </w:r>
      <w:r w:rsidRPr="005C16B4">
        <w:rPr>
          <w:rFonts w:ascii="仿宋_GB2312" w:eastAsia="仿宋_GB2312" w:hAnsi="宋体" w:cs="宋体" w:hint="eastAsia"/>
          <w:color w:val="000000"/>
          <w:sz w:val="32"/>
          <w:szCs w:val="32"/>
        </w:rPr>
        <w:t xml:space="preserve">  </w:t>
      </w:r>
      <w:r w:rsidRPr="005C16B4">
        <w:rPr>
          <w:rFonts w:ascii="仿宋_GB2312" w:eastAsia="仿宋_GB2312" w:hAnsi="宋体" w:cs="宋体" w:hint="eastAsia"/>
          <w:color w:val="000000"/>
          <w:sz w:val="32"/>
          <w:szCs w:val="32"/>
          <w:lang w:val="zh-CN"/>
        </w:rPr>
        <w:t>员：</w:t>
      </w:r>
      <w:r w:rsidRPr="005C16B4">
        <w:rPr>
          <w:rFonts w:ascii="仿宋_GB2312" w:eastAsia="仿宋_GB2312" w:hAnsi="宋体" w:cs="宋体" w:hint="eastAsia"/>
          <w:color w:val="000000"/>
          <w:sz w:val="32"/>
          <w:szCs w:val="32"/>
        </w:rPr>
        <w:t xml:space="preserve">陈景松  </w:t>
      </w:r>
      <w:r w:rsidRPr="005C16B4">
        <w:rPr>
          <w:rFonts w:ascii="仿宋_GB2312" w:eastAsia="仿宋_GB2312" w:hAnsi="宋体" w:cs="宋体" w:hint="eastAsia"/>
          <w:color w:val="000000"/>
          <w:sz w:val="32"/>
          <w:szCs w:val="32"/>
          <w:lang w:val="zh-CN"/>
        </w:rPr>
        <w:t>林欢腾</w:t>
      </w:r>
      <w:r w:rsidRPr="005C16B4">
        <w:rPr>
          <w:rFonts w:ascii="仿宋_GB2312" w:eastAsia="仿宋_GB2312" w:hAnsi="宋体" w:cs="宋体" w:hint="eastAsia"/>
          <w:color w:val="000000"/>
          <w:sz w:val="32"/>
          <w:szCs w:val="32"/>
        </w:rPr>
        <w:t xml:space="preserve">  </w:t>
      </w:r>
    </w:p>
    <w:p w:rsidR="00706AB5" w:rsidRPr="005C16B4" w:rsidRDefault="00706AB5" w:rsidP="009225E1">
      <w:pPr>
        <w:autoSpaceDE w:val="0"/>
        <w:autoSpaceDN w:val="0"/>
        <w:adjustRightInd w:val="0"/>
        <w:ind w:firstLineChars="200" w:firstLine="640"/>
        <w:rPr>
          <w:rFonts w:ascii="仿宋_GB2312" w:eastAsia="仿宋_GB2312" w:hAnsi="宋体" w:cs="宋体"/>
          <w:color w:val="000000"/>
          <w:sz w:val="32"/>
          <w:szCs w:val="32"/>
          <w:lang w:val="zh-CN"/>
        </w:rPr>
      </w:pPr>
      <w:r w:rsidRPr="005C16B4">
        <w:rPr>
          <w:rFonts w:ascii="仿宋_GB2312" w:eastAsia="仿宋_GB2312" w:hAnsi="宋体" w:cs="宋体" w:hint="eastAsia"/>
          <w:color w:val="000000"/>
          <w:sz w:val="32"/>
          <w:szCs w:val="32"/>
          <w:lang w:val="zh-CN"/>
        </w:rPr>
        <w:t>领导小组下设办公室（设在营销部）</w:t>
      </w:r>
    </w:p>
    <w:p w:rsidR="00706AB5" w:rsidRPr="005C16B4" w:rsidRDefault="00706AB5" w:rsidP="009225E1">
      <w:pPr>
        <w:autoSpaceDE w:val="0"/>
        <w:autoSpaceDN w:val="0"/>
        <w:adjustRightInd w:val="0"/>
        <w:ind w:firstLineChars="200" w:firstLine="640"/>
        <w:rPr>
          <w:rFonts w:ascii="仿宋_GB2312" w:eastAsia="仿宋_GB2312" w:hAnsi="宋体" w:cs="宋体"/>
          <w:color w:val="000000"/>
          <w:sz w:val="32"/>
          <w:szCs w:val="32"/>
          <w:lang w:val="zh-CN"/>
        </w:rPr>
      </w:pPr>
      <w:r w:rsidRPr="005C16B4">
        <w:rPr>
          <w:rFonts w:ascii="仿宋_GB2312" w:eastAsia="仿宋_GB2312" w:hAnsi="宋体" w:cs="宋体" w:hint="eastAsia"/>
          <w:color w:val="000000"/>
          <w:sz w:val="32"/>
          <w:szCs w:val="32"/>
          <w:lang w:val="zh-CN"/>
        </w:rPr>
        <w:t>主  任：</w:t>
      </w:r>
      <w:r w:rsidRPr="005C16B4">
        <w:rPr>
          <w:rFonts w:ascii="仿宋_GB2312" w:eastAsia="仿宋_GB2312" w:hAnsi="宋体" w:cs="宋体" w:hint="eastAsia"/>
          <w:color w:val="000000"/>
          <w:sz w:val="32"/>
          <w:szCs w:val="32"/>
        </w:rPr>
        <w:t>陈景松</w:t>
      </w:r>
      <w:r w:rsidRPr="005C16B4">
        <w:rPr>
          <w:rFonts w:ascii="仿宋_GB2312" w:eastAsia="仿宋_GB2312" w:hAnsi="宋体" w:cs="宋体" w:hint="eastAsia"/>
          <w:color w:val="000000"/>
          <w:sz w:val="32"/>
          <w:szCs w:val="32"/>
          <w:lang w:val="zh-CN"/>
        </w:rPr>
        <w:t>（兼）</w:t>
      </w:r>
    </w:p>
    <w:p w:rsidR="00706AB5" w:rsidRPr="005C16B4" w:rsidRDefault="00706AB5" w:rsidP="009225E1">
      <w:pPr>
        <w:autoSpaceDE w:val="0"/>
        <w:autoSpaceDN w:val="0"/>
        <w:adjustRightInd w:val="0"/>
        <w:ind w:firstLineChars="200" w:firstLine="640"/>
        <w:rPr>
          <w:rFonts w:ascii="仿宋_GB2312" w:eastAsia="仿宋_GB2312" w:hAnsi="宋体" w:cs="宋体"/>
          <w:color w:val="000000"/>
          <w:sz w:val="32"/>
          <w:szCs w:val="32"/>
          <w:lang w:val="zh-CN"/>
        </w:rPr>
      </w:pPr>
      <w:r w:rsidRPr="005C16B4">
        <w:rPr>
          <w:rFonts w:ascii="仿宋_GB2312" w:eastAsia="仿宋_GB2312" w:hAnsi="宋体" w:cs="宋体" w:hint="eastAsia"/>
          <w:color w:val="000000"/>
          <w:sz w:val="32"/>
          <w:szCs w:val="32"/>
          <w:lang w:val="zh-CN"/>
        </w:rPr>
        <w:t>副主任：陈云杰</w:t>
      </w:r>
      <w:r w:rsidRPr="005C16B4">
        <w:rPr>
          <w:rFonts w:ascii="仿宋_GB2312" w:eastAsia="仿宋_GB2312" w:hAnsi="宋体" w:cs="宋体" w:hint="eastAsia"/>
          <w:color w:val="000000"/>
          <w:sz w:val="32"/>
          <w:szCs w:val="32"/>
        </w:rPr>
        <w:t xml:space="preserve">   </w:t>
      </w:r>
      <w:proofErr w:type="gramStart"/>
      <w:r w:rsidRPr="005C16B4">
        <w:rPr>
          <w:rFonts w:ascii="仿宋_GB2312" w:eastAsia="仿宋_GB2312" w:hAnsi="宋体" w:cs="宋体" w:hint="eastAsia"/>
          <w:color w:val="000000"/>
          <w:sz w:val="32"/>
          <w:szCs w:val="32"/>
        </w:rPr>
        <w:t>欧业平</w:t>
      </w:r>
      <w:proofErr w:type="gramEnd"/>
      <w:r w:rsidRPr="005C16B4">
        <w:rPr>
          <w:rFonts w:ascii="仿宋_GB2312" w:eastAsia="仿宋_GB2312" w:hAnsi="宋体" w:cs="宋体" w:hint="eastAsia"/>
          <w:color w:val="000000"/>
          <w:sz w:val="32"/>
          <w:szCs w:val="32"/>
        </w:rPr>
        <w:t xml:space="preserve">  彭素华 </w:t>
      </w:r>
    </w:p>
    <w:p w:rsidR="00706AB5" w:rsidRPr="005C16B4" w:rsidRDefault="00706AB5" w:rsidP="009225E1">
      <w:pPr>
        <w:autoSpaceDE w:val="0"/>
        <w:autoSpaceDN w:val="0"/>
        <w:adjustRightInd w:val="0"/>
        <w:ind w:firstLineChars="200" w:firstLine="640"/>
        <w:rPr>
          <w:rFonts w:ascii="仿宋_GB2312" w:eastAsia="仿宋_GB2312" w:hAnsi="宋体"/>
          <w:color w:val="000000"/>
          <w:sz w:val="32"/>
          <w:szCs w:val="32"/>
        </w:rPr>
      </w:pPr>
      <w:r w:rsidRPr="005C16B4">
        <w:rPr>
          <w:rFonts w:ascii="仿宋_GB2312" w:eastAsia="仿宋_GB2312" w:hAnsi="宋体" w:cs="宋体" w:hint="eastAsia"/>
          <w:color w:val="000000"/>
          <w:sz w:val="32"/>
          <w:szCs w:val="32"/>
          <w:lang w:val="zh-CN"/>
        </w:rPr>
        <w:t>成  员：</w:t>
      </w:r>
      <w:r w:rsidRPr="005C16B4">
        <w:rPr>
          <w:rFonts w:ascii="仿宋_GB2312" w:eastAsia="仿宋_GB2312" w:hAnsi="宋体" w:cs="宋体" w:hint="eastAsia"/>
          <w:color w:val="000000"/>
          <w:sz w:val="32"/>
          <w:szCs w:val="32"/>
        </w:rPr>
        <w:t>营销部、调度中心相关人员</w:t>
      </w:r>
    </w:p>
    <w:p w:rsidR="00706AB5" w:rsidRPr="00A75ADB" w:rsidRDefault="00A75ADB" w:rsidP="009225E1">
      <w:pPr>
        <w:autoSpaceDE w:val="0"/>
        <w:autoSpaceDN w:val="0"/>
        <w:adjustRightInd w:val="0"/>
        <w:ind w:firstLineChars="147" w:firstLine="472"/>
        <w:rPr>
          <w:rFonts w:ascii="楷体" w:eastAsia="楷体" w:hAnsi="楷体"/>
          <w:b/>
          <w:bCs/>
          <w:color w:val="000000"/>
          <w:sz w:val="32"/>
          <w:szCs w:val="32"/>
        </w:rPr>
      </w:pPr>
      <w:r>
        <w:rPr>
          <w:rFonts w:ascii="楷体" w:eastAsia="楷体" w:hAnsi="楷体" w:hint="eastAsia"/>
          <w:b/>
          <w:bCs/>
          <w:color w:val="000000"/>
          <w:sz w:val="32"/>
          <w:szCs w:val="32"/>
        </w:rPr>
        <w:t>（二）主要职责</w:t>
      </w:r>
    </w:p>
    <w:p w:rsidR="009A24DC" w:rsidRPr="009A24DC" w:rsidRDefault="00A75ADB" w:rsidP="009A24DC">
      <w:pPr>
        <w:autoSpaceDE w:val="0"/>
        <w:autoSpaceDN w:val="0"/>
        <w:adjustRightInd w:val="0"/>
        <w:ind w:firstLineChars="200" w:firstLine="643"/>
        <w:rPr>
          <w:rFonts w:ascii="仿宋_GB2312" w:eastAsia="仿宋_GB2312" w:hAnsi="宋体"/>
          <w:b/>
          <w:color w:val="000000"/>
          <w:sz w:val="32"/>
          <w:szCs w:val="32"/>
        </w:rPr>
      </w:pPr>
      <w:r w:rsidRPr="009A24DC">
        <w:rPr>
          <w:rFonts w:ascii="仿宋_GB2312" w:eastAsia="仿宋_GB2312" w:hAnsi="宋体" w:hint="eastAsia"/>
          <w:b/>
          <w:color w:val="000000"/>
          <w:sz w:val="32"/>
          <w:szCs w:val="32"/>
        </w:rPr>
        <w:lastRenderedPageBreak/>
        <w:t>1.</w:t>
      </w:r>
      <w:r w:rsidR="00706AB5" w:rsidRPr="009A24DC">
        <w:rPr>
          <w:rFonts w:ascii="仿宋_GB2312" w:eastAsia="仿宋_GB2312" w:hAnsi="宋体" w:hint="eastAsia"/>
          <w:b/>
          <w:color w:val="000000"/>
          <w:sz w:val="32"/>
          <w:szCs w:val="32"/>
        </w:rPr>
        <w:t>领导小组职责</w:t>
      </w:r>
    </w:p>
    <w:p w:rsidR="00706AB5" w:rsidRPr="005C16B4" w:rsidRDefault="00706AB5" w:rsidP="00706AB5">
      <w:pPr>
        <w:autoSpaceDE w:val="0"/>
        <w:autoSpaceDN w:val="0"/>
        <w:adjustRightInd w:val="0"/>
        <w:ind w:firstLineChars="200" w:firstLine="640"/>
        <w:rPr>
          <w:rFonts w:ascii="仿宋_GB2312" w:eastAsia="仿宋_GB2312" w:hAnsi="宋体"/>
          <w:color w:val="000000"/>
          <w:sz w:val="32"/>
          <w:szCs w:val="32"/>
        </w:rPr>
      </w:pPr>
      <w:r w:rsidRPr="005C16B4">
        <w:rPr>
          <w:rFonts w:ascii="仿宋_GB2312" w:eastAsia="仿宋_GB2312" w:hAnsi="宋体" w:hint="eastAsia"/>
          <w:color w:val="000000"/>
          <w:sz w:val="32"/>
          <w:szCs w:val="32"/>
        </w:rPr>
        <w:t>统一部署</w:t>
      </w:r>
      <w:r w:rsidRPr="005C16B4">
        <w:rPr>
          <w:rFonts w:ascii="仿宋_GB2312" w:eastAsia="仿宋_GB2312" w:hAnsi="宋体" w:cs="宋体" w:hint="eastAsia"/>
          <w:color w:val="000000"/>
          <w:sz w:val="32"/>
          <w:szCs w:val="32"/>
          <w:lang w:val="zh-CN"/>
        </w:rPr>
        <w:t>有序用电工作</w:t>
      </w:r>
      <w:r w:rsidRPr="005C16B4">
        <w:rPr>
          <w:rFonts w:ascii="仿宋_GB2312" w:eastAsia="仿宋_GB2312" w:hAnsi="宋体" w:hint="eastAsia"/>
          <w:color w:val="000000"/>
          <w:sz w:val="32"/>
          <w:szCs w:val="32"/>
        </w:rPr>
        <w:t>，指导、检查工作的开展情况。</w:t>
      </w:r>
    </w:p>
    <w:p w:rsidR="009A24DC" w:rsidRPr="009A24DC" w:rsidRDefault="00A75ADB" w:rsidP="009A24DC">
      <w:pPr>
        <w:autoSpaceDE w:val="0"/>
        <w:autoSpaceDN w:val="0"/>
        <w:adjustRightInd w:val="0"/>
        <w:ind w:firstLineChars="200" w:firstLine="643"/>
        <w:rPr>
          <w:rFonts w:ascii="仿宋_GB2312" w:eastAsia="仿宋_GB2312" w:hAnsi="宋体"/>
          <w:b/>
          <w:color w:val="000000"/>
          <w:sz w:val="32"/>
          <w:szCs w:val="32"/>
        </w:rPr>
      </w:pPr>
      <w:r w:rsidRPr="009A24DC">
        <w:rPr>
          <w:rFonts w:ascii="仿宋_GB2312" w:eastAsia="仿宋_GB2312" w:hAnsi="宋体" w:hint="eastAsia"/>
          <w:b/>
          <w:color w:val="000000"/>
          <w:sz w:val="32"/>
          <w:szCs w:val="32"/>
        </w:rPr>
        <w:t>2.</w:t>
      </w:r>
      <w:r w:rsidR="009A24DC" w:rsidRPr="009A24DC">
        <w:rPr>
          <w:rFonts w:ascii="仿宋_GB2312" w:eastAsia="仿宋_GB2312" w:hAnsi="宋体" w:hint="eastAsia"/>
          <w:b/>
          <w:color w:val="000000"/>
          <w:sz w:val="32"/>
          <w:szCs w:val="32"/>
        </w:rPr>
        <w:t>办公室职责</w:t>
      </w:r>
    </w:p>
    <w:p w:rsidR="00706AB5" w:rsidRPr="005C16B4" w:rsidRDefault="00706AB5" w:rsidP="00706AB5">
      <w:pPr>
        <w:autoSpaceDE w:val="0"/>
        <w:autoSpaceDN w:val="0"/>
        <w:adjustRightInd w:val="0"/>
        <w:ind w:firstLineChars="200" w:firstLine="640"/>
        <w:rPr>
          <w:rFonts w:ascii="仿宋_GB2312" w:eastAsia="仿宋_GB2312" w:hAnsi="宋体"/>
          <w:color w:val="000000"/>
          <w:sz w:val="32"/>
          <w:szCs w:val="32"/>
        </w:rPr>
      </w:pPr>
      <w:r w:rsidRPr="005C16B4">
        <w:rPr>
          <w:rFonts w:ascii="仿宋_GB2312" w:eastAsia="仿宋_GB2312" w:hAnsi="宋体" w:hint="eastAsia"/>
          <w:color w:val="000000"/>
          <w:sz w:val="32"/>
          <w:szCs w:val="32"/>
        </w:rPr>
        <w:t>负责</w:t>
      </w:r>
      <w:r w:rsidRPr="005C16B4">
        <w:rPr>
          <w:rFonts w:ascii="仿宋_GB2312" w:eastAsia="仿宋_GB2312" w:hAnsi="宋体" w:cs="宋体" w:hint="eastAsia"/>
          <w:color w:val="000000"/>
          <w:sz w:val="32"/>
          <w:szCs w:val="32"/>
          <w:lang w:val="zh-CN"/>
        </w:rPr>
        <w:t>有序用电工作</w:t>
      </w:r>
      <w:r w:rsidRPr="005C16B4">
        <w:rPr>
          <w:rFonts w:ascii="仿宋_GB2312" w:eastAsia="仿宋_GB2312" w:hAnsi="宋体" w:hint="eastAsia"/>
          <w:color w:val="000000"/>
          <w:sz w:val="32"/>
          <w:szCs w:val="32"/>
        </w:rPr>
        <w:t>的总体协调工作；根据领导小组确定的工作思路布置工作和编制</w:t>
      </w:r>
      <w:r w:rsidRPr="005C16B4">
        <w:rPr>
          <w:rFonts w:ascii="仿宋_GB2312" w:eastAsia="仿宋_GB2312" w:hAnsi="宋体" w:cs="宋体" w:hint="eastAsia"/>
          <w:color w:val="000000"/>
          <w:sz w:val="32"/>
          <w:szCs w:val="32"/>
          <w:lang w:val="zh-CN"/>
        </w:rPr>
        <w:t>有序用电</w:t>
      </w:r>
      <w:r w:rsidRPr="005C16B4">
        <w:rPr>
          <w:rFonts w:ascii="仿宋_GB2312" w:eastAsia="仿宋_GB2312" w:hAnsi="宋体" w:hint="eastAsia"/>
          <w:color w:val="000000"/>
          <w:sz w:val="32"/>
          <w:szCs w:val="32"/>
        </w:rPr>
        <w:t>方案；督促</w:t>
      </w:r>
      <w:r w:rsidRPr="005C16B4">
        <w:rPr>
          <w:rFonts w:ascii="仿宋_GB2312" w:eastAsia="仿宋_GB2312" w:hAnsi="宋体" w:cs="宋体" w:hint="eastAsia"/>
          <w:color w:val="000000"/>
          <w:sz w:val="32"/>
          <w:szCs w:val="32"/>
          <w:lang w:val="zh-CN"/>
        </w:rPr>
        <w:t>有序用电</w:t>
      </w:r>
      <w:r w:rsidRPr="005C16B4">
        <w:rPr>
          <w:rFonts w:ascii="仿宋_GB2312" w:eastAsia="仿宋_GB2312" w:hAnsi="宋体" w:hint="eastAsia"/>
          <w:color w:val="000000"/>
          <w:sz w:val="32"/>
          <w:szCs w:val="32"/>
        </w:rPr>
        <w:t>方案的实施；协调、督促单位按时保质完成布置的工作。</w:t>
      </w:r>
    </w:p>
    <w:p w:rsidR="009A24DC" w:rsidRPr="009A24DC" w:rsidRDefault="00A75ADB" w:rsidP="009A24DC">
      <w:pPr>
        <w:ind w:firstLineChars="200" w:firstLine="643"/>
        <w:rPr>
          <w:rFonts w:ascii="仿宋_GB2312" w:eastAsia="仿宋_GB2312" w:hAnsi="宋体"/>
          <w:b/>
          <w:bCs/>
          <w:color w:val="000000"/>
          <w:sz w:val="32"/>
          <w:szCs w:val="32"/>
        </w:rPr>
      </w:pPr>
      <w:r w:rsidRPr="009A24DC">
        <w:rPr>
          <w:rFonts w:ascii="仿宋_GB2312" w:eastAsia="仿宋_GB2312" w:hAnsi="宋体" w:hint="eastAsia"/>
          <w:b/>
          <w:bCs/>
          <w:color w:val="000000"/>
          <w:sz w:val="32"/>
          <w:szCs w:val="32"/>
        </w:rPr>
        <w:t>3.</w:t>
      </w:r>
      <w:r w:rsidR="00706AB5" w:rsidRPr="009A24DC">
        <w:rPr>
          <w:rFonts w:ascii="仿宋_GB2312" w:eastAsia="仿宋_GB2312" w:hAnsi="宋体" w:hint="eastAsia"/>
          <w:b/>
          <w:bCs/>
          <w:color w:val="000000"/>
          <w:sz w:val="32"/>
          <w:szCs w:val="32"/>
        </w:rPr>
        <w:t>营销部职责</w:t>
      </w:r>
    </w:p>
    <w:p w:rsidR="00706AB5" w:rsidRPr="005C16B4" w:rsidRDefault="00706AB5" w:rsidP="00706AB5">
      <w:pPr>
        <w:ind w:firstLineChars="200" w:firstLine="640"/>
        <w:rPr>
          <w:rFonts w:ascii="仿宋_GB2312" w:eastAsia="仿宋_GB2312" w:hAnsi="宋体"/>
          <w:color w:val="000000"/>
          <w:sz w:val="32"/>
          <w:szCs w:val="32"/>
        </w:rPr>
      </w:pPr>
      <w:r w:rsidRPr="005C16B4">
        <w:rPr>
          <w:rFonts w:ascii="仿宋_GB2312" w:eastAsia="仿宋_GB2312" w:hAnsi="宋体" w:hint="eastAsia"/>
          <w:bCs/>
          <w:color w:val="000000"/>
          <w:sz w:val="32"/>
          <w:szCs w:val="32"/>
        </w:rPr>
        <w:t>负责本网区用电负荷预测及分析，负责监督、落实本网区用户计划用电的执行情况；配合政府有关部门制定本网区各用户的用电指标；结合有序用电方案，对用电计划指标进行分解；负责转发本级政府工业信息化委员会发文要求确保的企业用电指标，负责有序用电具体实施方案的组织；及对外沟通、汇报、宣传工作；负责对有序用电工作实施</w:t>
      </w:r>
      <w:r w:rsidRPr="005C16B4">
        <w:rPr>
          <w:rFonts w:ascii="仿宋_GB2312" w:eastAsia="仿宋_GB2312" w:hAnsi="宋体" w:hint="eastAsia"/>
          <w:color w:val="000000"/>
          <w:sz w:val="32"/>
          <w:szCs w:val="32"/>
        </w:rPr>
        <w:t>情况及效果进行统计、总结、上报。</w:t>
      </w:r>
    </w:p>
    <w:p w:rsidR="009A24DC" w:rsidRPr="009A24DC" w:rsidRDefault="00A75ADB" w:rsidP="009A24DC">
      <w:pPr>
        <w:ind w:firstLineChars="200" w:firstLine="643"/>
        <w:rPr>
          <w:rFonts w:ascii="仿宋_GB2312" w:eastAsia="仿宋_GB2312" w:hAnsi="宋体"/>
          <w:b/>
          <w:bCs/>
          <w:color w:val="000000"/>
          <w:sz w:val="32"/>
          <w:szCs w:val="32"/>
        </w:rPr>
      </w:pPr>
      <w:r w:rsidRPr="009A24DC">
        <w:rPr>
          <w:rFonts w:ascii="仿宋_GB2312" w:eastAsia="仿宋_GB2312" w:hAnsi="宋体" w:hint="eastAsia"/>
          <w:b/>
          <w:bCs/>
          <w:color w:val="000000"/>
          <w:sz w:val="32"/>
          <w:szCs w:val="32"/>
        </w:rPr>
        <w:t>4.</w:t>
      </w:r>
      <w:r w:rsidR="009A24DC" w:rsidRPr="009A24DC">
        <w:rPr>
          <w:rFonts w:ascii="仿宋_GB2312" w:eastAsia="仿宋_GB2312" w:hAnsi="宋体" w:hint="eastAsia"/>
          <w:b/>
          <w:bCs/>
          <w:color w:val="000000"/>
          <w:sz w:val="32"/>
          <w:szCs w:val="32"/>
        </w:rPr>
        <w:t>调度中心职责</w:t>
      </w:r>
    </w:p>
    <w:p w:rsidR="00706AB5" w:rsidRPr="005C16B4" w:rsidRDefault="00706AB5" w:rsidP="00706AB5">
      <w:pPr>
        <w:ind w:firstLineChars="200" w:firstLine="640"/>
        <w:rPr>
          <w:rFonts w:ascii="仿宋_GB2312" w:eastAsia="仿宋_GB2312" w:hAnsi="宋体"/>
          <w:color w:val="000000"/>
          <w:sz w:val="32"/>
          <w:szCs w:val="32"/>
        </w:rPr>
      </w:pPr>
      <w:r w:rsidRPr="005C16B4">
        <w:rPr>
          <w:rFonts w:ascii="仿宋_GB2312" w:eastAsia="仿宋_GB2312" w:hAnsi="宋体" w:hint="eastAsia"/>
          <w:bCs/>
          <w:color w:val="000000"/>
          <w:sz w:val="32"/>
          <w:szCs w:val="32"/>
        </w:rPr>
        <w:t>负责计划用电指标的下达和执行；负责限电负荷的管理；指导并监督本网区用户（含高耗电用户）计划用电的执行情况。</w:t>
      </w:r>
      <w:r w:rsidRPr="005C16B4">
        <w:rPr>
          <w:rFonts w:ascii="仿宋_GB2312" w:eastAsia="仿宋_GB2312" w:hAnsi="宋体" w:hint="eastAsia"/>
          <w:color w:val="000000"/>
          <w:sz w:val="32"/>
          <w:szCs w:val="32"/>
        </w:rPr>
        <w:t>负责组织开展限电序位表的编制工作；负责与上级调度的沟通及临时用电指标的申请工作；负责进行发购电能力的预测及分析工作；负责强制错避峰措施的统计、分析工作。</w:t>
      </w:r>
    </w:p>
    <w:p w:rsidR="00706AB5" w:rsidRPr="00A75ADB" w:rsidRDefault="00706AB5" w:rsidP="00A75ADB">
      <w:pPr>
        <w:ind w:firstLineChars="189" w:firstLine="605"/>
        <w:rPr>
          <w:rFonts w:ascii="黑体" w:eastAsia="黑体" w:hAnsi="黑体"/>
          <w:sz w:val="32"/>
          <w:szCs w:val="32"/>
        </w:rPr>
      </w:pPr>
      <w:r w:rsidRPr="00A75ADB">
        <w:rPr>
          <w:rFonts w:ascii="黑体" w:eastAsia="黑体" w:hAnsi="黑体" w:hint="eastAsia"/>
          <w:sz w:val="32"/>
          <w:szCs w:val="32"/>
        </w:rPr>
        <w:t>三、2018年供用电形势预测</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2017年桂东电网最大负荷为65.8万千瓦；预计今年桂</w:t>
      </w:r>
      <w:r w:rsidRPr="005C16B4">
        <w:rPr>
          <w:rFonts w:ascii="仿宋_GB2312" w:eastAsia="仿宋_GB2312" w:hAnsi="宋体" w:hint="eastAsia"/>
          <w:sz w:val="32"/>
          <w:szCs w:val="32"/>
        </w:rPr>
        <w:lastRenderedPageBreak/>
        <w:t>东电网新增负荷约16万千瓦，最大负荷约82万千瓦，自有水电最大出力约30万千瓦，</w:t>
      </w:r>
      <w:proofErr w:type="gramStart"/>
      <w:r w:rsidRPr="005C16B4">
        <w:rPr>
          <w:rFonts w:ascii="仿宋_GB2312" w:eastAsia="仿宋_GB2312" w:hAnsi="宋体" w:hint="eastAsia"/>
          <w:sz w:val="32"/>
          <w:szCs w:val="32"/>
        </w:rPr>
        <w:t>铝电子</w:t>
      </w:r>
      <w:proofErr w:type="gramEnd"/>
      <w:r w:rsidRPr="005C16B4">
        <w:rPr>
          <w:rFonts w:ascii="仿宋_GB2312" w:eastAsia="仿宋_GB2312" w:hAnsi="宋体" w:hint="eastAsia"/>
          <w:sz w:val="32"/>
          <w:szCs w:val="32"/>
        </w:rPr>
        <w:t>产业动力车间最大上网32万千瓦（暂按一台机考虑），需湖南电网与广西电网各提供约10万千瓦才能达到电力平衡。当</w:t>
      </w:r>
      <w:proofErr w:type="gramStart"/>
      <w:r w:rsidRPr="005C16B4">
        <w:rPr>
          <w:rFonts w:ascii="仿宋_GB2312" w:eastAsia="仿宋_GB2312" w:hAnsi="宋体" w:hint="eastAsia"/>
          <w:sz w:val="32"/>
          <w:szCs w:val="32"/>
        </w:rPr>
        <w:t>铝电子</w:t>
      </w:r>
      <w:proofErr w:type="gramEnd"/>
      <w:r w:rsidRPr="005C16B4">
        <w:rPr>
          <w:rFonts w:ascii="仿宋_GB2312" w:eastAsia="仿宋_GB2312" w:hAnsi="宋体" w:hint="eastAsia"/>
          <w:sz w:val="32"/>
          <w:szCs w:val="32"/>
        </w:rPr>
        <w:t>产业动力车间机组因故停机及主网</w:t>
      </w:r>
      <w:proofErr w:type="gramStart"/>
      <w:r w:rsidRPr="005C16B4">
        <w:rPr>
          <w:rFonts w:ascii="仿宋_GB2312" w:eastAsia="仿宋_GB2312" w:hAnsi="宋体" w:hint="eastAsia"/>
          <w:sz w:val="32"/>
          <w:szCs w:val="32"/>
        </w:rPr>
        <w:t>出现网架性缺电</w:t>
      </w:r>
      <w:proofErr w:type="gramEnd"/>
      <w:r w:rsidR="00DB1F2C">
        <w:rPr>
          <w:rFonts w:ascii="仿宋_GB2312" w:eastAsia="仿宋_GB2312" w:hAnsi="宋体" w:hint="eastAsia"/>
          <w:sz w:val="32"/>
          <w:szCs w:val="32"/>
        </w:rPr>
        <w:t>，</w:t>
      </w:r>
      <w:r w:rsidRPr="005C16B4">
        <w:rPr>
          <w:rFonts w:ascii="仿宋_GB2312" w:eastAsia="仿宋_GB2312" w:hAnsi="宋体" w:hint="eastAsia"/>
          <w:sz w:val="32"/>
          <w:szCs w:val="32"/>
        </w:rPr>
        <w:t>同时发生或出现台风、洪水、冰灾等紧急情况造成设备故障停运</w:t>
      </w:r>
      <w:r w:rsidR="00DB1F2C">
        <w:rPr>
          <w:rFonts w:ascii="仿宋_GB2312" w:eastAsia="仿宋_GB2312" w:hAnsi="宋体" w:hint="eastAsia"/>
          <w:sz w:val="32"/>
          <w:szCs w:val="32"/>
        </w:rPr>
        <w:t>，</w:t>
      </w:r>
      <w:r w:rsidRPr="005C16B4">
        <w:rPr>
          <w:rFonts w:ascii="仿宋_GB2312" w:eastAsia="仿宋_GB2312" w:hAnsi="宋体" w:hint="eastAsia"/>
          <w:sz w:val="32"/>
          <w:szCs w:val="32"/>
        </w:rPr>
        <w:t>影响电力正常供应时，将导致桂东电网出现较大供用电缺口，届时需按有序用电预案执行限电。</w:t>
      </w:r>
    </w:p>
    <w:p w:rsidR="00706AB5" w:rsidRPr="00A75ADB" w:rsidRDefault="00706AB5" w:rsidP="00A75ADB">
      <w:pPr>
        <w:ind w:firstLineChars="189" w:firstLine="605"/>
        <w:rPr>
          <w:rFonts w:ascii="黑体" w:eastAsia="黑体" w:hAnsi="黑体"/>
          <w:sz w:val="32"/>
          <w:szCs w:val="32"/>
        </w:rPr>
      </w:pPr>
      <w:r w:rsidRPr="00A75ADB">
        <w:rPr>
          <w:rFonts w:ascii="黑体" w:eastAsia="黑体" w:hAnsi="黑体" w:hint="eastAsia"/>
          <w:sz w:val="32"/>
          <w:szCs w:val="32"/>
        </w:rPr>
        <w:t>四、有序用电原则</w:t>
      </w:r>
    </w:p>
    <w:p w:rsidR="009A24DC" w:rsidRPr="009A24DC" w:rsidRDefault="009A24DC" w:rsidP="009A24DC">
      <w:pPr>
        <w:ind w:firstLineChars="189" w:firstLine="607"/>
        <w:rPr>
          <w:rFonts w:ascii="楷体" w:eastAsia="楷体" w:hAnsi="楷体"/>
          <w:b/>
          <w:sz w:val="32"/>
          <w:szCs w:val="32"/>
        </w:rPr>
      </w:pPr>
      <w:r>
        <w:rPr>
          <w:rFonts w:ascii="楷体" w:eastAsia="楷体" w:hAnsi="楷体" w:hint="eastAsia"/>
          <w:b/>
          <w:sz w:val="32"/>
          <w:szCs w:val="32"/>
        </w:rPr>
        <w:t>（一）安全稳定原则</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积极平衡电力供需，科学组织调度生产，确保电网安全稳定运行。</w:t>
      </w:r>
    </w:p>
    <w:p w:rsidR="009A24DC" w:rsidRPr="009A24DC" w:rsidRDefault="009A24DC" w:rsidP="009A24DC">
      <w:pPr>
        <w:ind w:firstLineChars="189" w:firstLine="607"/>
        <w:rPr>
          <w:rFonts w:ascii="楷体" w:eastAsia="楷体" w:hAnsi="楷体"/>
          <w:b/>
          <w:sz w:val="32"/>
          <w:szCs w:val="32"/>
        </w:rPr>
      </w:pPr>
      <w:r>
        <w:rPr>
          <w:rFonts w:ascii="楷体" w:eastAsia="楷体" w:hAnsi="楷体" w:hint="eastAsia"/>
          <w:b/>
          <w:sz w:val="32"/>
          <w:szCs w:val="32"/>
        </w:rPr>
        <w:t>（二）快速响应原则</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在实施错避峰时，快速启动不同电力缺口情况下的错避峰方案，做到反应快、报告快、处理快。</w:t>
      </w:r>
    </w:p>
    <w:p w:rsidR="009A24DC" w:rsidRPr="009A24DC" w:rsidRDefault="009A24DC" w:rsidP="009A24DC">
      <w:pPr>
        <w:ind w:firstLineChars="189" w:firstLine="607"/>
        <w:rPr>
          <w:rFonts w:ascii="楷体" w:eastAsia="楷体" w:hAnsi="楷体"/>
          <w:b/>
          <w:sz w:val="32"/>
          <w:szCs w:val="32"/>
        </w:rPr>
      </w:pPr>
      <w:r>
        <w:rPr>
          <w:rFonts w:ascii="楷体" w:eastAsia="楷体" w:hAnsi="楷体" w:hint="eastAsia"/>
          <w:b/>
          <w:sz w:val="32"/>
          <w:szCs w:val="32"/>
        </w:rPr>
        <w:t>（三）有保有限原则</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保证城乡居民、学校、医院、党政军机关及其他涉及国计民生的重要单位用电，保证重点企业生产和重点工程建设用电；限制高耗能、高排放企业和产能过剩行业企业用电。</w:t>
      </w:r>
    </w:p>
    <w:p w:rsidR="009A24DC" w:rsidRPr="009A24DC" w:rsidRDefault="009A24DC" w:rsidP="009A24DC">
      <w:pPr>
        <w:ind w:firstLineChars="189" w:firstLine="607"/>
        <w:rPr>
          <w:rFonts w:ascii="楷体" w:eastAsia="楷体" w:hAnsi="楷体"/>
          <w:b/>
          <w:sz w:val="32"/>
          <w:szCs w:val="32"/>
        </w:rPr>
      </w:pPr>
      <w:r>
        <w:rPr>
          <w:rFonts w:ascii="楷体" w:eastAsia="楷体" w:hAnsi="楷体" w:hint="eastAsia"/>
          <w:b/>
          <w:sz w:val="32"/>
          <w:szCs w:val="32"/>
        </w:rPr>
        <w:t>（四）分级实施原则</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根据上级下达用电负荷指标逐级分解，落实到相关电力用户，并负责本级组织实施。</w:t>
      </w:r>
    </w:p>
    <w:p w:rsidR="009A24DC" w:rsidRPr="009A24DC" w:rsidRDefault="009A24DC" w:rsidP="009A24DC">
      <w:pPr>
        <w:ind w:firstLineChars="189" w:firstLine="607"/>
        <w:rPr>
          <w:rFonts w:ascii="楷体" w:eastAsia="楷体" w:hAnsi="楷体"/>
          <w:b/>
          <w:sz w:val="32"/>
          <w:szCs w:val="32"/>
        </w:rPr>
      </w:pPr>
      <w:r>
        <w:rPr>
          <w:rFonts w:ascii="楷体" w:eastAsia="楷体" w:hAnsi="楷体" w:hint="eastAsia"/>
          <w:b/>
          <w:sz w:val="32"/>
          <w:szCs w:val="32"/>
        </w:rPr>
        <w:lastRenderedPageBreak/>
        <w:t>（五）公开透明原则</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及时公布电力供需平衡和有序用电工作实施情况，以及错峰、避峰、限电等措施落实情况，保证用电指标分配公平、限电措施公开、方案执行公正。</w:t>
      </w:r>
    </w:p>
    <w:p w:rsidR="00706AB5" w:rsidRPr="00A75ADB" w:rsidRDefault="00706AB5" w:rsidP="00A75ADB">
      <w:pPr>
        <w:ind w:firstLineChars="189" w:firstLine="605"/>
        <w:rPr>
          <w:rFonts w:ascii="黑体" w:eastAsia="黑体" w:hAnsi="黑体"/>
          <w:sz w:val="32"/>
          <w:szCs w:val="32"/>
        </w:rPr>
      </w:pPr>
      <w:r w:rsidRPr="00A75ADB">
        <w:rPr>
          <w:rFonts w:ascii="黑体" w:eastAsia="黑体" w:hAnsi="黑体" w:hint="eastAsia"/>
          <w:sz w:val="32"/>
          <w:szCs w:val="32"/>
        </w:rPr>
        <w:t>五、有序用电错避峰实施方案</w:t>
      </w:r>
    </w:p>
    <w:p w:rsidR="00A75ADB" w:rsidRPr="00A75ADB" w:rsidRDefault="00A75ADB" w:rsidP="00A75ADB">
      <w:pPr>
        <w:ind w:firstLineChars="189" w:firstLine="607"/>
        <w:rPr>
          <w:rFonts w:ascii="楷体" w:eastAsia="楷体" w:hAnsi="楷体"/>
          <w:b/>
          <w:sz w:val="32"/>
          <w:szCs w:val="32"/>
        </w:rPr>
      </w:pPr>
      <w:r>
        <w:rPr>
          <w:rFonts w:ascii="楷体" w:eastAsia="楷体" w:hAnsi="楷体" w:hint="eastAsia"/>
          <w:b/>
          <w:sz w:val="32"/>
          <w:szCs w:val="32"/>
        </w:rPr>
        <w:t>（一）分类管理方案</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根据桂东电网用电结构特点，对执行错避峰分级实施方案的用户进行分类管理。</w:t>
      </w:r>
    </w:p>
    <w:p w:rsidR="00706AB5" w:rsidRPr="009A24DC" w:rsidRDefault="00A75ADB" w:rsidP="009A24DC">
      <w:pPr>
        <w:ind w:firstLineChars="189" w:firstLine="607"/>
        <w:rPr>
          <w:rFonts w:ascii="仿宋_GB2312" w:eastAsia="仿宋_GB2312" w:hAnsi="宋体"/>
          <w:b/>
          <w:sz w:val="32"/>
          <w:szCs w:val="32"/>
        </w:rPr>
      </w:pPr>
      <w:r w:rsidRPr="009A24DC">
        <w:rPr>
          <w:rFonts w:ascii="仿宋_GB2312" w:eastAsia="仿宋_GB2312" w:hAnsi="宋体" w:hint="eastAsia"/>
          <w:b/>
          <w:sz w:val="32"/>
          <w:szCs w:val="32"/>
        </w:rPr>
        <w:t>1.</w:t>
      </w:r>
      <w:r w:rsidR="00706AB5" w:rsidRPr="009A24DC">
        <w:rPr>
          <w:rFonts w:ascii="仿宋_GB2312" w:eastAsia="仿宋_GB2312" w:hAnsi="宋体" w:hint="eastAsia"/>
          <w:b/>
          <w:sz w:val="32"/>
          <w:szCs w:val="32"/>
        </w:rPr>
        <w:t>居民、一般工商业用户</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该类用户大部分属于国计民生用电，有序用电方案的实施应尽可能不影响该类用户正常供电。</w:t>
      </w:r>
    </w:p>
    <w:p w:rsidR="00706AB5" w:rsidRPr="009A24DC" w:rsidRDefault="00A75ADB" w:rsidP="009A24DC">
      <w:pPr>
        <w:ind w:firstLineChars="189" w:firstLine="607"/>
        <w:rPr>
          <w:rFonts w:ascii="仿宋_GB2312" w:eastAsia="仿宋_GB2312" w:hAnsi="宋体"/>
          <w:b/>
          <w:sz w:val="32"/>
          <w:szCs w:val="32"/>
        </w:rPr>
      </w:pPr>
      <w:r w:rsidRPr="009A24DC">
        <w:rPr>
          <w:rFonts w:ascii="仿宋_GB2312" w:eastAsia="仿宋_GB2312" w:hAnsi="宋体" w:hint="eastAsia"/>
          <w:b/>
          <w:sz w:val="32"/>
          <w:szCs w:val="32"/>
        </w:rPr>
        <w:t>2.</w:t>
      </w:r>
      <w:r w:rsidR="00706AB5" w:rsidRPr="009A24DC">
        <w:rPr>
          <w:rFonts w:ascii="仿宋_GB2312" w:eastAsia="仿宋_GB2312" w:hAnsi="宋体" w:hint="eastAsia"/>
          <w:b/>
          <w:sz w:val="32"/>
          <w:szCs w:val="32"/>
        </w:rPr>
        <w:t>高耗能工业企业</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该类企业必须严格执行有序用电方案，并根据负荷缺口不同等级相应要求，分期分批</w:t>
      </w:r>
      <w:r w:rsidR="00DB1F2C">
        <w:rPr>
          <w:rFonts w:ascii="仿宋_GB2312" w:eastAsia="仿宋_GB2312" w:hAnsi="宋体" w:hint="eastAsia"/>
          <w:sz w:val="32"/>
          <w:szCs w:val="32"/>
        </w:rPr>
        <w:t>实行日夜班错避峰计划。对违反有序用电执行方案的企业，情节严重的</w:t>
      </w:r>
      <w:r w:rsidRPr="005C16B4">
        <w:rPr>
          <w:rFonts w:ascii="仿宋_GB2312" w:eastAsia="仿宋_GB2312" w:hAnsi="宋体" w:hint="eastAsia"/>
          <w:sz w:val="32"/>
          <w:szCs w:val="32"/>
        </w:rPr>
        <w:t xml:space="preserve">按照国家规定程序停止供电。 </w:t>
      </w:r>
    </w:p>
    <w:p w:rsidR="00706AB5" w:rsidRPr="009A24DC" w:rsidRDefault="00A75ADB" w:rsidP="009A24DC">
      <w:pPr>
        <w:ind w:firstLineChars="189" w:firstLine="607"/>
        <w:rPr>
          <w:rFonts w:ascii="仿宋_GB2312" w:eastAsia="仿宋_GB2312" w:hAnsi="宋体"/>
          <w:b/>
          <w:sz w:val="32"/>
          <w:szCs w:val="32"/>
        </w:rPr>
      </w:pPr>
      <w:r w:rsidRPr="009A24DC">
        <w:rPr>
          <w:rFonts w:ascii="仿宋_GB2312" w:eastAsia="仿宋_GB2312" w:hAnsi="宋体" w:hint="eastAsia"/>
          <w:b/>
          <w:sz w:val="32"/>
          <w:szCs w:val="32"/>
        </w:rPr>
        <w:t>3.</w:t>
      </w:r>
      <w:r w:rsidR="00706AB5" w:rsidRPr="009A24DC">
        <w:rPr>
          <w:rFonts w:ascii="仿宋_GB2312" w:eastAsia="仿宋_GB2312" w:hAnsi="宋体" w:hint="eastAsia"/>
          <w:b/>
          <w:sz w:val="32"/>
          <w:szCs w:val="32"/>
        </w:rPr>
        <w:t>县区趸售用户</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县区趸售用户需严格执行贺州市电力协调领导小组下达的电力指标，对网区内的高耗能企业采取严格的错避峰措施，保证全市单位增加值能耗低、经济效益好、财税贡献大的重要企业的用电。</w:t>
      </w:r>
    </w:p>
    <w:p w:rsidR="00706AB5" w:rsidRPr="00A75ADB" w:rsidRDefault="00706AB5" w:rsidP="00A75ADB">
      <w:pPr>
        <w:ind w:firstLineChars="189" w:firstLine="607"/>
        <w:rPr>
          <w:rFonts w:ascii="楷体" w:eastAsia="楷体" w:hAnsi="楷体"/>
          <w:b/>
          <w:sz w:val="32"/>
          <w:szCs w:val="32"/>
        </w:rPr>
      </w:pPr>
      <w:r w:rsidRPr="00A75ADB">
        <w:rPr>
          <w:rFonts w:ascii="楷体" w:eastAsia="楷体" w:hAnsi="楷体" w:hint="eastAsia"/>
          <w:b/>
          <w:sz w:val="32"/>
          <w:szCs w:val="32"/>
        </w:rPr>
        <w:t>（二）方案分级</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lastRenderedPageBreak/>
        <w:t>根据2018年贺州市电力协调领导小组安排给桂东电网错避峰负荷实际情况，统筹考虑各种因素，将错避峰有序用电方案分为二级，并根据电力供应紧张程度，启动相应级别的错避峰方案，在供电能力不足时，遵循“先错峰、后避峰、再限电、最后拉路”的顺序，最大限度避免停限电带来的损失。</w:t>
      </w:r>
    </w:p>
    <w:p w:rsidR="00706AB5" w:rsidRPr="009A24DC" w:rsidRDefault="00A75ADB" w:rsidP="009A24DC">
      <w:pPr>
        <w:ind w:firstLineChars="189" w:firstLine="607"/>
        <w:rPr>
          <w:rFonts w:ascii="仿宋_GB2312" w:eastAsia="仿宋_GB2312" w:hAnsi="宋体"/>
          <w:b/>
          <w:sz w:val="32"/>
          <w:szCs w:val="32"/>
        </w:rPr>
      </w:pPr>
      <w:r w:rsidRPr="009A24DC">
        <w:rPr>
          <w:rFonts w:ascii="仿宋_GB2312" w:eastAsia="仿宋_GB2312" w:hAnsi="宋体" w:hint="eastAsia"/>
          <w:b/>
          <w:sz w:val="32"/>
          <w:szCs w:val="32"/>
        </w:rPr>
        <w:t>1.</w:t>
      </w:r>
      <w:r w:rsidR="00706AB5" w:rsidRPr="009A24DC">
        <w:rPr>
          <w:rFonts w:ascii="仿宋_GB2312" w:eastAsia="仿宋_GB2312" w:hAnsi="宋体" w:hint="eastAsia"/>
          <w:b/>
          <w:sz w:val="32"/>
          <w:szCs w:val="32"/>
        </w:rPr>
        <w:t>一级方案：缺口0.2～18万千瓦</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根据不同电力缺口对高耗能工业企业实行日夜班错避峰计划直至停止生产用电，涉及的变电站和用户专线为：林水变的林苍Ⅱ～Ⅲ线，信都变的信达Ⅰ～Ⅱ线及荣泰Ⅰ线，</w:t>
      </w:r>
      <w:proofErr w:type="gramStart"/>
      <w:r w:rsidRPr="005C16B4">
        <w:rPr>
          <w:rFonts w:ascii="仿宋_GB2312" w:eastAsia="仿宋_GB2312" w:hAnsi="宋体" w:hint="eastAsia"/>
          <w:sz w:val="32"/>
          <w:szCs w:val="32"/>
        </w:rPr>
        <w:t>西湾变的</w:t>
      </w:r>
      <w:proofErr w:type="gramEnd"/>
      <w:r w:rsidRPr="005C16B4">
        <w:rPr>
          <w:rFonts w:ascii="仿宋_GB2312" w:eastAsia="仿宋_GB2312" w:hAnsi="宋体" w:hint="eastAsia"/>
          <w:sz w:val="32"/>
          <w:szCs w:val="32"/>
        </w:rPr>
        <w:t>东水Ⅰ～Ⅱ线、旺</w:t>
      </w:r>
      <w:proofErr w:type="gramStart"/>
      <w:r w:rsidRPr="005C16B4">
        <w:rPr>
          <w:rFonts w:ascii="仿宋_GB2312" w:eastAsia="仿宋_GB2312" w:hAnsi="宋体" w:hint="eastAsia"/>
          <w:sz w:val="32"/>
          <w:szCs w:val="32"/>
        </w:rPr>
        <w:t>甫</w:t>
      </w:r>
      <w:proofErr w:type="gramEnd"/>
      <w:r w:rsidRPr="005C16B4">
        <w:rPr>
          <w:rFonts w:ascii="仿宋_GB2312" w:eastAsia="仿宋_GB2312" w:hAnsi="宋体" w:hint="eastAsia"/>
          <w:sz w:val="32"/>
          <w:szCs w:val="32"/>
        </w:rPr>
        <w:t>变的穗粤线、</w:t>
      </w:r>
      <w:proofErr w:type="gramStart"/>
      <w:r w:rsidRPr="005C16B4">
        <w:rPr>
          <w:rFonts w:ascii="仿宋_GB2312" w:eastAsia="仿宋_GB2312" w:hAnsi="宋体" w:hint="eastAsia"/>
          <w:sz w:val="32"/>
          <w:szCs w:val="32"/>
        </w:rPr>
        <w:t>旺阳线</w:t>
      </w:r>
      <w:proofErr w:type="gramEnd"/>
      <w:r w:rsidRPr="005C16B4">
        <w:rPr>
          <w:rFonts w:ascii="仿宋_GB2312" w:eastAsia="仿宋_GB2312" w:hAnsi="宋体" w:hint="eastAsia"/>
          <w:sz w:val="32"/>
          <w:szCs w:val="32"/>
        </w:rPr>
        <w:t>，近区变的岑溪Ⅰ线，趸售县区高能耗的小企业。</w:t>
      </w:r>
    </w:p>
    <w:p w:rsidR="00706AB5" w:rsidRPr="009A24DC" w:rsidRDefault="00A75ADB" w:rsidP="009A24DC">
      <w:pPr>
        <w:ind w:firstLineChars="189" w:firstLine="607"/>
        <w:rPr>
          <w:rFonts w:ascii="仿宋_GB2312" w:eastAsia="仿宋_GB2312" w:hAnsi="宋体"/>
          <w:b/>
          <w:sz w:val="32"/>
          <w:szCs w:val="32"/>
        </w:rPr>
      </w:pPr>
      <w:r w:rsidRPr="009A24DC">
        <w:rPr>
          <w:rFonts w:ascii="仿宋_GB2312" w:eastAsia="仿宋_GB2312" w:hAnsi="宋体" w:hint="eastAsia"/>
          <w:b/>
          <w:sz w:val="32"/>
          <w:szCs w:val="32"/>
        </w:rPr>
        <w:t>2.</w:t>
      </w:r>
      <w:r w:rsidR="00706AB5" w:rsidRPr="009A24DC">
        <w:rPr>
          <w:rFonts w:ascii="仿宋_GB2312" w:eastAsia="仿宋_GB2312" w:hAnsi="宋体" w:hint="eastAsia"/>
          <w:b/>
          <w:sz w:val="32"/>
          <w:szCs w:val="32"/>
        </w:rPr>
        <w:t>二级方案：缺口18～21.1万千瓦</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对一级方案涉及的用户专线全部停电，根据不同电力缺口，</w:t>
      </w:r>
      <w:proofErr w:type="gramStart"/>
      <w:r w:rsidRPr="005C16B4">
        <w:rPr>
          <w:rFonts w:ascii="仿宋_GB2312" w:eastAsia="仿宋_GB2312" w:hAnsi="宋体" w:hint="eastAsia"/>
          <w:sz w:val="32"/>
          <w:szCs w:val="32"/>
        </w:rPr>
        <w:t>对平桂电力</w:t>
      </w:r>
      <w:proofErr w:type="gramEnd"/>
      <w:r w:rsidRPr="005C16B4">
        <w:rPr>
          <w:rFonts w:ascii="仿宋_GB2312" w:eastAsia="仿宋_GB2312" w:hAnsi="宋体" w:hint="eastAsia"/>
          <w:sz w:val="32"/>
          <w:szCs w:val="32"/>
        </w:rPr>
        <w:t>、钟山县</w:t>
      </w:r>
      <w:proofErr w:type="gramStart"/>
      <w:r w:rsidRPr="005C16B4">
        <w:rPr>
          <w:rFonts w:ascii="仿宋_GB2312" w:eastAsia="仿宋_GB2312" w:hAnsi="宋体" w:hint="eastAsia"/>
          <w:sz w:val="32"/>
          <w:szCs w:val="32"/>
        </w:rPr>
        <w:t>水利电</w:t>
      </w:r>
      <w:proofErr w:type="gramEnd"/>
      <w:r w:rsidRPr="005C16B4">
        <w:rPr>
          <w:rFonts w:ascii="仿宋_GB2312" w:eastAsia="仿宋_GB2312" w:hAnsi="宋体" w:hint="eastAsia"/>
          <w:sz w:val="32"/>
          <w:szCs w:val="32"/>
        </w:rPr>
        <w:t>业、昭平县</w:t>
      </w:r>
      <w:proofErr w:type="gramStart"/>
      <w:r w:rsidRPr="005C16B4">
        <w:rPr>
          <w:rFonts w:ascii="仿宋_GB2312" w:eastAsia="仿宋_GB2312" w:hAnsi="宋体" w:hint="eastAsia"/>
          <w:sz w:val="32"/>
          <w:szCs w:val="32"/>
        </w:rPr>
        <w:t>水利电</w:t>
      </w:r>
      <w:proofErr w:type="gramEnd"/>
      <w:r w:rsidRPr="005C16B4">
        <w:rPr>
          <w:rFonts w:ascii="仿宋_GB2312" w:eastAsia="仿宋_GB2312" w:hAnsi="宋体" w:hint="eastAsia"/>
          <w:sz w:val="32"/>
          <w:szCs w:val="32"/>
        </w:rPr>
        <w:t>业、富川县</w:t>
      </w:r>
      <w:proofErr w:type="gramStart"/>
      <w:r w:rsidRPr="005C16B4">
        <w:rPr>
          <w:rFonts w:ascii="仿宋_GB2312" w:eastAsia="仿宋_GB2312" w:hAnsi="宋体" w:hint="eastAsia"/>
          <w:sz w:val="32"/>
          <w:szCs w:val="32"/>
        </w:rPr>
        <w:t>水利电</w:t>
      </w:r>
      <w:proofErr w:type="gramEnd"/>
      <w:r w:rsidRPr="005C16B4">
        <w:rPr>
          <w:rFonts w:ascii="仿宋_GB2312" w:eastAsia="仿宋_GB2312" w:hAnsi="宋体" w:hint="eastAsia"/>
          <w:sz w:val="32"/>
          <w:szCs w:val="32"/>
        </w:rPr>
        <w:t>业、桂源</w:t>
      </w:r>
      <w:proofErr w:type="gramStart"/>
      <w:r w:rsidRPr="005C16B4">
        <w:rPr>
          <w:rFonts w:ascii="仿宋_GB2312" w:eastAsia="仿宋_GB2312" w:hAnsi="宋体" w:hint="eastAsia"/>
          <w:sz w:val="32"/>
          <w:szCs w:val="32"/>
        </w:rPr>
        <w:t>水利电</w:t>
      </w:r>
      <w:proofErr w:type="gramEnd"/>
      <w:r w:rsidRPr="005C16B4">
        <w:rPr>
          <w:rFonts w:ascii="仿宋_GB2312" w:eastAsia="仿宋_GB2312" w:hAnsi="宋体" w:hint="eastAsia"/>
          <w:sz w:val="32"/>
          <w:szCs w:val="32"/>
        </w:rPr>
        <w:t>业部分居民、一般工商业用户采取限电措施。</w:t>
      </w:r>
    </w:p>
    <w:p w:rsidR="00706AB5" w:rsidRPr="005C16B4" w:rsidRDefault="00DB1F2C" w:rsidP="00706AB5">
      <w:pPr>
        <w:ind w:firstLineChars="189" w:firstLine="605"/>
        <w:rPr>
          <w:rFonts w:ascii="仿宋_GB2312" w:eastAsia="仿宋_GB2312" w:hAnsi="宋体"/>
          <w:sz w:val="32"/>
          <w:szCs w:val="32"/>
        </w:rPr>
      </w:pPr>
      <w:r>
        <w:rPr>
          <w:rFonts w:ascii="仿宋_GB2312" w:eastAsia="仿宋_GB2312" w:hAnsi="宋体" w:hint="eastAsia"/>
          <w:sz w:val="32"/>
          <w:szCs w:val="32"/>
        </w:rPr>
        <w:t>具体限电指标分配详见附表，即</w:t>
      </w:r>
      <w:bookmarkStart w:id="0" w:name="_GoBack"/>
      <w:bookmarkEnd w:id="0"/>
      <w:r w:rsidR="00706AB5" w:rsidRPr="005C16B4">
        <w:rPr>
          <w:rFonts w:ascii="仿宋_GB2312" w:eastAsia="仿宋_GB2312" w:hAnsi="宋体" w:hint="eastAsia"/>
          <w:sz w:val="32"/>
          <w:szCs w:val="32"/>
        </w:rPr>
        <w:t>2018年桂东电网超计划用电限电序位表。</w:t>
      </w:r>
    </w:p>
    <w:p w:rsidR="00706AB5" w:rsidRPr="00A75ADB" w:rsidRDefault="00706AB5" w:rsidP="00A75ADB">
      <w:pPr>
        <w:ind w:firstLineChars="189" w:firstLine="605"/>
        <w:rPr>
          <w:rFonts w:ascii="黑体" w:eastAsia="黑体" w:hAnsi="黑体"/>
          <w:sz w:val="32"/>
          <w:szCs w:val="32"/>
        </w:rPr>
      </w:pPr>
      <w:r w:rsidRPr="00A75ADB">
        <w:rPr>
          <w:rFonts w:ascii="黑体" w:eastAsia="黑体" w:hAnsi="黑体" w:hint="eastAsia"/>
          <w:sz w:val="32"/>
          <w:szCs w:val="32"/>
        </w:rPr>
        <w:t>六、有序用电工作要求</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（一）根据桂东网区发购电情况及负荷水平结构特点，制定计划用电指标方案，经贺州市电力协调领导小组审定同</w:t>
      </w:r>
      <w:r w:rsidRPr="005C16B4">
        <w:rPr>
          <w:rFonts w:ascii="仿宋_GB2312" w:eastAsia="仿宋_GB2312" w:hAnsi="宋体" w:hint="eastAsia"/>
          <w:sz w:val="32"/>
          <w:szCs w:val="32"/>
        </w:rPr>
        <w:lastRenderedPageBreak/>
        <w:t>意后下达执行。</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（二）根据市政府的要求定负荷、定线路进行供电，对有序供电方案进行宣传、落实，向各个用户做好宣传及解释工作，得到客户的理解与支持。</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（三）在广西电网电力供应紧张的情况下，我公司及时向上级部门汇报，积极争取更多临时用电指标；或积极争取其他电网的支持，减轻贺州市有序用电压力。</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（四）及时发布错避峰、限电有关信息，使用户提前做好生产、生活及经营活动安排。在对用户用电情况实施、变更和取消有序用电措施前，及时与客户沟通联系。</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（五）电力调度部门要合理安排电网运行方式，做到科学调度和“三公”调度。</w:t>
      </w:r>
    </w:p>
    <w:p w:rsidR="00706AB5" w:rsidRPr="005C16B4" w:rsidRDefault="00706AB5" w:rsidP="00706AB5">
      <w:pPr>
        <w:ind w:firstLineChars="189" w:firstLine="605"/>
        <w:rPr>
          <w:rFonts w:ascii="仿宋_GB2312" w:eastAsia="仿宋_GB2312" w:hAnsi="宋体"/>
          <w:sz w:val="32"/>
          <w:szCs w:val="32"/>
        </w:rPr>
      </w:pPr>
      <w:r w:rsidRPr="005C16B4">
        <w:rPr>
          <w:rFonts w:ascii="仿宋_GB2312" w:eastAsia="仿宋_GB2312" w:hAnsi="宋体" w:hint="eastAsia"/>
          <w:sz w:val="32"/>
          <w:szCs w:val="32"/>
        </w:rPr>
        <w:t>（六）做好节能降耗、节约用电的宣传活动，增加公众节约用电意识和社会责任感，减少错避峰、限电给社会带来的影响。</w:t>
      </w:r>
    </w:p>
    <w:p w:rsidR="00706AB5" w:rsidRPr="005C16B4" w:rsidRDefault="00706AB5" w:rsidP="00706AB5">
      <w:pPr>
        <w:ind w:firstLineChars="202" w:firstLine="646"/>
        <w:rPr>
          <w:rFonts w:ascii="仿宋_GB2312" w:eastAsia="仿宋_GB2312" w:hAnsi="宋体"/>
          <w:sz w:val="32"/>
          <w:szCs w:val="32"/>
        </w:rPr>
      </w:pPr>
    </w:p>
    <w:p w:rsidR="00706AB5" w:rsidRPr="005C16B4" w:rsidRDefault="00706AB5" w:rsidP="00706AB5">
      <w:pPr>
        <w:ind w:firstLineChars="202" w:firstLine="646"/>
        <w:rPr>
          <w:rFonts w:ascii="仿宋_GB2312" w:eastAsia="仿宋_GB2312" w:hAnsi="宋体"/>
          <w:sz w:val="32"/>
          <w:szCs w:val="32"/>
        </w:rPr>
      </w:pPr>
      <w:r w:rsidRPr="005C16B4">
        <w:rPr>
          <w:rFonts w:ascii="仿宋_GB2312" w:eastAsia="仿宋_GB2312" w:hAnsi="宋体" w:hint="eastAsia"/>
          <w:sz w:val="32"/>
          <w:szCs w:val="32"/>
        </w:rPr>
        <w:t>附表：2018年桂东</w:t>
      </w:r>
      <w:proofErr w:type="gramStart"/>
      <w:r w:rsidRPr="005C16B4">
        <w:rPr>
          <w:rFonts w:ascii="仿宋_GB2312" w:eastAsia="仿宋_GB2312" w:hAnsi="宋体" w:hint="eastAsia"/>
          <w:sz w:val="32"/>
          <w:szCs w:val="32"/>
        </w:rPr>
        <w:t>电网超</w:t>
      </w:r>
      <w:proofErr w:type="gramEnd"/>
      <w:r w:rsidRPr="005C16B4">
        <w:rPr>
          <w:rFonts w:ascii="仿宋_GB2312" w:eastAsia="仿宋_GB2312" w:hAnsi="宋体" w:hint="eastAsia"/>
          <w:sz w:val="32"/>
          <w:szCs w:val="32"/>
        </w:rPr>
        <w:t>计划用电限电序位表</w:t>
      </w:r>
    </w:p>
    <w:p w:rsidR="00706AB5" w:rsidRPr="005C16B4" w:rsidRDefault="00706AB5" w:rsidP="00706AB5">
      <w:pPr>
        <w:ind w:firstLineChars="202" w:firstLine="646"/>
        <w:rPr>
          <w:rFonts w:ascii="仿宋_GB2312" w:eastAsia="仿宋_GB2312" w:hAnsi="宋体"/>
          <w:sz w:val="32"/>
          <w:szCs w:val="32"/>
        </w:rPr>
      </w:pPr>
    </w:p>
    <w:p w:rsidR="00706AB5" w:rsidRPr="005C16B4" w:rsidRDefault="00706AB5" w:rsidP="00706AB5">
      <w:pPr>
        <w:ind w:firstLineChars="202" w:firstLine="646"/>
        <w:rPr>
          <w:rFonts w:ascii="仿宋_GB2312" w:eastAsia="仿宋_GB2312" w:hAnsi="宋体"/>
          <w:sz w:val="32"/>
          <w:szCs w:val="32"/>
        </w:rPr>
      </w:pPr>
    </w:p>
    <w:p w:rsidR="00706AB5" w:rsidRPr="005C16B4" w:rsidRDefault="00706AB5" w:rsidP="00706AB5">
      <w:pPr>
        <w:ind w:firstLineChars="202" w:firstLine="646"/>
        <w:rPr>
          <w:rFonts w:ascii="仿宋_GB2312" w:eastAsia="仿宋_GB2312" w:hAnsi="宋体"/>
          <w:sz w:val="32"/>
          <w:szCs w:val="32"/>
        </w:rPr>
      </w:pPr>
      <w:r w:rsidRPr="005C16B4">
        <w:rPr>
          <w:rFonts w:ascii="仿宋_GB2312" w:eastAsia="仿宋_GB2312" w:hAnsi="宋体" w:hint="eastAsia"/>
          <w:sz w:val="32"/>
          <w:szCs w:val="32"/>
        </w:rPr>
        <w:t xml:space="preserve">                       </w:t>
      </w:r>
    </w:p>
    <w:p w:rsidR="00706AB5" w:rsidRPr="005330F8" w:rsidRDefault="00706AB5" w:rsidP="00706AB5">
      <w:pPr>
        <w:rPr>
          <w:rFonts w:ascii="宋体" w:hAnsi="宋体"/>
          <w:sz w:val="30"/>
          <w:szCs w:val="30"/>
        </w:rPr>
      </w:pPr>
      <w:r w:rsidRPr="005C16B4">
        <w:rPr>
          <w:rFonts w:ascii="仿宋_GB2312" w:eastAsia="仿宋_GB2312" w:hAnsi="宋体" w:hint="eastAsia"/>
          <w:sz w:val="32"/>
          <w:szCs w:val="32"/>
        </w:rPr>
        <w:br w:type="page"/>
      </w:r>
      <w:r w:rsidRPr="005330F8">
        <w:rPr>
          <w:rFonts w:ascii="宋体" w:hAnsi="宋体" w:hint="eastAsia"/>
          <w:sz w:val="30"/>
          <w:szCs w:val="30"/>
        </w:rPr>
        <w:lastRenderedPageBreak/>
        <w:t>附表：2018年桂东</w:t>
      </w:r>
      <w:proofErr w:type="gramStart"/>
      <w:r w:rsidRPr="005330F8">
        <w:rPr>
          <w:rFonts w:ascii="宋体" w:hAnsi="宋体" w:hint="eastAsia"/>
          <w:sz w:val="30"/>
          <w:szCs w:val="30"/>
        </w:rPr>
        <w:t>电网超</w:t>
      </w:r>
      <w:proofErr w:type="gramEnd"/>
      <w:r w:rsidRPr="005330F8">
        <w:rPr>
          <w:rFonts w:ascii="宋体" w:hAnsi="宋体" w:hint="eastAsia"/>
          <w:sz w:val="30"/>
          <w:szCs w:val="30"/>
        </w:rPr>
        <w:t>计划用电限电序位表</w:t>
      </w:r>
    </w:p>
    <w:tbl>
      <w:tblPr>
        <w:tblW w:w="9465" w:type="dxa"/>
        <w:jc w:val="center"/>
        <w:tblInd w:w="93" w:type="dxa"/>
        <w:tblLook w:val="0000" w:firstRow="0" w:lastRow="0" w:firstColumn="0" w:lastColumn="0" w:noHBand="0" w:noVBand="0"/>
      </w:tblPr>
      <w:tblGrid>
        <w:gridCol w:w="582"/>
        <w:gridCol w:w="1276"/>
        <w:gridCol w:w="1559"/>
        <w:gridCol w:w="1134"/>
        <w:gridCol w:w="851"/>
        <w:gridCol w:w="3073"/>
        <w:gridCol w:w="990"/>
      </w:tblGrid>
      <w:tr w:rsidR="00706AB5" w:rsidRPr="005330F8" w:rsidTr="005C16B4">
        <w:trPr>
          <w:trHeight w:val="600"/>
          <w:jc w:val="center"/>
        </w:trPr>
        <w:tc>
          <w:tcPr>
            <w:tcW w:w="582" w:type="dxa"/>
            <w:tcBorders>
              <w:top w:val="single" w:sz="4" w:space="0" w:color="auto"/>
              <w:left w:val="single" w:sz="4" w:space="0" w:color="auto"/>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编号</w:t>
            </w:r>
          </w:p>
        </w:tc>
        <w:tc>
          <w:tcPr>
            <w:tcW w:w="1276" w:type="dxa"/>
            <w:tcBorders>
              <w:top w:val="single" w:sz="4" w:space="0" w:color="auto"/>
              <w:left w:val="nil"/>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站名</w:t>
            </w:r>
          </w:p>
        </w:tc>
        <w:tc>
          <w:tcPr>
            <w:tcW w:w="1559" w:type="dxa"/>
            <w:tcBorders>
              <w:top w:val="single" w:sz="4" w:space="0" w:color="auto"/>
              <w:left w:val="nil"/>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线路名称</w:t>
            </w:r>
          </w:p>
        </w:tc>
        <w:tc>
          <w:tcPr>
            <w:tcW w:w="1134" w:type="dxa"/>
            <w:tcBorders>
              <w:top w:val="single" w:sz="4" w:space="0" w:color="auto"/>
              <w:left w:val="nil"/>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线路负荷（</w:t>
            </w:r>
            <w:r w:rsidRPr="005330F8">
              <w:rPr>
                <w:rFonts w:ascii="宋体" w:hAnsi="宋体"/>
                <w:kern w:val="0"/>
                <w:sz w:val="24"/>
                <w:szCs w:val="24"/>
              </w:rPr>
              <w:t>MW</w:t>
            </w:r>
            <w:r w:rsidRPr="005330F8">
              <w:rPr>
                <w:rFonts w:ascii="宋体" w:hAnsi="宋体" w:cs="宋体" w:hint="eastAsia"/>
                <w:kern w:val="0"/>
                <w:sz w:val="24"/>
                <w:szCs w:val="24"/>
              </w:rPr>
              <w:t>）</w:t>
            </w:r>
          </w:p>
        </w:tc>
        <w:tc>
          <w:tcPr>
            <w:tcW w:w="851" w:type="dxa"/>
            <w:tcBorders>
              <w:top w:val="single" w:sz="4" w:space="0" w:color="auto"/>
              <w:left w:val="nil"/>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负荷类别</w:t>
            </w:r>
          </w:p>
        </w:tc>
        <w:tc>
          <w:tcPr>
            <w:tcW w:w="3073" w:type="dxa"/>
            <w:tcBorders>
              <w:top w:val="single" w:sz="4" w:space="0" w:color="auto"/>
              <w:left w:val="nil"/>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用户名称</w:t>
            </w:r>
          </w:p>
        </w:tc>
        <w:tc>
          <w:tcPr>
            <w:tcW w:w="990" w:type="dxa"/>
            <w:tcBorders>
              <w:top w:val="single" w:sz="4" w:space="0" w:color="auto"/>
              <w:left w:val="nil"/>
              <w:bottom w:val="single" w:sz="4" w:space="0" w:color="auto"/>
              <w:right w:val="single" w:sz="4" w:space="0" w:color="auto"/>
            </w:tcBorders>
            <w:vAlign w:val="bottom"/>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备注</w:t>
            </w:r>
          </w:p>
        </w:tc>
      </w:tr>
      <w:tr w:rsidR="00706AB5" w:rsidRPr="005330F8" w:rsidTr="005C16B4">
        <w:trPr>
          <w:trHeight w:val="601"/>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近区变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岑溪Ⅰ线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贺州市</w:t>
            </w:r>
            <w:proofErr w:type="gramStart"/>
            <w:r w:rsidRPr="005330F8">
              <w:rPr>
                <w:rFonts w:ascii="宋体" w:hAnsi="宋体" w:hint="eastAsia"/>
                <w:color w:val="000000"/>
                <w:sz w:val="24"/>
                <w:szCs w:val="24"/>
              </w:rPr>
              <w:t>桂东通宇金属制品</w:t>
            </w:r>
            <w:proofErr w:type="gramEnd"/>
            <w:r w:rsidRPr="005330F8">
              <w:rPr>
                <w:rFonts w:ascii="宋体" w:hAnsi="宋体" w:hint="eastAsia"/>
                <w:color w:val="000000"/>
                <w:sz w:val="24"/>
                <w:szCs w:val="24"/>
              </w:rPr>
              <w:t xml:space="preserve">有限公司 </w:t>
            </w:r>
          </w:p>
        </w:tc>
        <w:tc>
          <w:tcPr>
            <w:tcW w:w="990" w:type="dxa"/>
            <w:vMerge w:val="restart"/>
            <w:tcBorders>
              <w:top w:val="nil"/>
              <w:left w:val="nil"/>
              <w:right w:val="single" w:sz="4" w:space="0" w:color="auto"/>
            </w:tcBorders>
            <w:vAlign w:val="center"/>
          </w:tcPr>
          <w:p w:rsidR="00706AB5" w:rsidRPr="005330F8" w:rsidRDefault="00706AB5" w:rsidP="005C16B4">
            <w:pPr>
              <w:jc w:val="left"/>
              <w:rPr>
                <w:rFonts w:ascii="宋体" w:hAnsi="宋体" w:cs="宋体"/>
                <w:kern w:val="0"/>
                <w:sz w:val="24"/>
                <w:szCs w:val="24"/>
              </w:rPr>
            </w:pPr>
            <w:r w:rsidRPr="005330F8">
              <w:rPr>
                <w:rFonts w:ascii="宋体" w:hAnsi="宋体" w:cs="宋体" w:hint="eastAsia"/>
                <w:kern w:val="0"/>
                <w:sz w:val="24"/>
                <w:szCs w:val="24"/>
              </w:rPr>
              <w:t>合计：177MW</w:t>
            </w:r>
          </w:p>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 xml:space="preserve">　</w:t>
            </w:r>
          </w:p>
          <w:p w:rsidR="00706AB5" w:rsidRPr="005330F8" w:rsidRDefault="00706AB5" w:rsidP="005C16B4">
            <w:pPr>
              <w:jc w:val="left"/>
              <w:rPr>
                <w:rFonts w:ascii="宋体" w:hAnsi="宋体" w:cs="宋体"/>
                <w:kern w:val="0"/>
                <w:sz w:val="24"/>
                <w:szCs w:val="24"/>
              </w:rPr>
            </w:pPr>
            <w:r w:rsidRPr="005330F8">
              <w:rPr>
                <w:rFonts w:ascii="宋体" w:hAnsi="宋体" w:cs="宋体" w:hint="eastAsia"/>
                <w:kern w:val="0"/>
                <w:sz w:val="24"/>
                <w:szCs w:val="24"/>
              </w:rPr>
              <w:t xml:space="preserve">　</w:t>
            </w:r>
          </w:p>
        </w:tc>
      </w:tr>
      <w:tr w:rsidR="00706AB5" w:rsidRPr="005330F8" w:rsidTr="005C16B4">
        <w:trPr>
          <w:trHeight w:val="570"/>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2</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林水变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林苍Ⅱ线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17</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梧州市广成金属制品厂</w:t>
            </w:r>
          </w:p>
        </w:tc>
        <w:tc>
          <w:tcPr>
            <w:tcW w:w="990" w:type="dxa"/>
            <w:vMerge/>
            <w:tcBorders>
              <w:left w:val="nil"/>
              <w:right w:val="single" w:sz="4" w:space="0" w:color="auto"/>
            </w:tcBorders>
            <w:noWrap/>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02"/>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3</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信都变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信达Ⅰ线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30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广西贺州市科信达金属制品有限公司</w:t>
            </w:r>
          </w:p>
        </w:tc>
        <w:tc>
          <w:tcPr>
            <w:tcW w:w="990" w:type="dxa"/>
            <w:vMerge/>
            <w:tcBorders>
              <w:left w:val="nil"/>
              <w:right w:val="single" w:sz="4" w:space="0" w:color="auto"/>
            </w:tcBorders>
            <w:noWrap/>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10"/>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4</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信都变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信达Ⅱ线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30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广西贺州市科信达金属制品有限公司</w:t>
            </w:r>
          </w:p>
        </w:tc>
        <w:tc>
          <w:tcPr>
            <w:tcW w:w="990" w:type="dxa"/>
            <w:vMerge/>
            <w:tcBorders>
              <w:left w:val="nil"/>
              <w:right w:val="single" w:sz="4" w:space="0" w:color="auto"/>
            </w:tcBorders>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19"/>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5</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proofErr w:type="gramStart"/>
            <w:r w:rsidRPr="005330F8">
              <w:rPr>
                <w:rFonts w:ascii="宋体" w:hAnsi="宋体" w:cs="宋体" w:hint="eastAsia"/>
                <w:kern w:val="0"/>
                <w:sz w:val="24"/>
                <w:szCs w:val="24"/>
              </w:rPr>
              <w:t>西湾变</w:t>
            </w:r>
            <w:proofErr w:type="gramEnd"/>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东水Ⅱ线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w:t>
            </w:r>
            <w:r w:rsidRPr="005330F8">
              <w:rPr>
                <w:rFonts w:ascii="宋体" w:hAnsi="宋体" w:cs="宋体"/>
                <w:kern w:val="0"/>
                <w:sz w:val="24"/>
                <w:szCs w:val="24"/>
              </w:rPr>
              <w:t>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广西贺州市金山金属制品有限公司</w:t>
            </w:r>
          </w:p>
        </w:tc>
        <w:tc>
          <w:tcPr>
            <w:tcW w:w="990" w:type="dxa"/>
            <w:vMerge/>
            <w:tcBorders>
              <w:left w:val="nil"/>
              <w:right w:val="single" w:sz="4" w:space="0" w:color="auto"/>
            </w:tcBorders>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13"/>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6</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旺</w:t>
            </w:r>
            <w:proofErr w:type="gramStart"/>
            <w:r w:rsidRPr="005330F8">
              <w:rPr>
                <w:rFonts w:ascii="宋体" w:hAnsi="宋体" w:cs="宋体" w:hint="eastAsia"/>
                <w:kern w:val="0"/>
                <w:sz w:val="24"/>
                <w:szCs w:val="24"/>
              </w:rPr>
              <w:t>甫</w:t>
            </w:r>
            <w:proofErr w:type="gramEnd"/>
            <w:r w:rsidRPr="005330F8">
              <w:rPr>
                <w:rFonts w:ascii="宋体" w:hAnsi="宋体" w:cs="宋体" w:hint="eastAsia"/>
                <w:kern w:val="0"/>
                <w:sz w:val="24"/>
                <w:szCs w:val="24"/>
              </w:rPr>
              <w:t>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proofErr w:type="gramStart"/>
            <w:r w:rsidRPr="005330F8">
              <w:rPr>
                <w:rFonts w:ascii="宋体" w:hAnsi="宋体" w:cs="宋体" w:hint="eastAsia"/>
                <w:kern w:val="0"/>
                <w:sz w:val="24"/>
                <w:szCs w:val="24"/>
              </w:rPr>
              <w:t>穗粤线</w:t>
            </w:r>
            <w:proofErr w:type="gramEnd"/>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苍梧县恒达型材有限公司、梧州</w:t>
            </w:r>
            <w:proofErr w:type="gramStart"/>
            <w:r w:rsidRPr="005330F8">
              <w:rPr>
                <w:rFonts w:ascii="宋体" w:hAnsi="宋体" w:hint="eastAsia"/>
                <w:color w:val="000000"/>
                <w:sz w:val="24"/>
                <w:szCs w:val="24"/>
              </w:rPr>
              <w:t>市远鸿建材</w:t>
            </w:r>
            <w:proofErr w:type="gramEnd"/>
            <w:r w:rsidRPr="005330F8">
              <w:rPr>
                <w:rFonts w:ascii="宋体" w:hAnsi="宋体" w:hint="eastAsia"/>
                <w:color w:val="000000"/>
                <w:sz w:val="24"/>
                <w:szCs w:val="24"/>
              </w:rPr>
              <w:t>制品有限公司</w:t>
            </w:r>
            <w:r w:rsidRPr="005330F8">
              <w:rPr>
                <w:rFonts w:ascii="宋体" w:hAnsi="宋体"/>
                <w:color w:val="333333"/>
                <w:sz w:val="24"/>
                <w:szCs w:val="24"/>
              </w:rPr>
              <w:t xml:space="preserve"> </w:t>
            </w:r>
          </w:p>
        </w:tc>
        <w:tc>
          <w:tcPr>
            <w:tcW w:w="990" w:type="dxa"/>
            <w:vMerge/>
            <w:tcBorders>
              <w:left w:val="nil"/>
              <w:right w:val="single" w:sz="4" w:space="0" w:color="auto"/>
            </w:tcBorders>
            <w:noWrap/>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13"/>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7</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林水变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林苍Ⅲ线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15</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梧州市广成金属制品厂</w:t>
            </w:r>
          </w:p>
        </w:tc>
        <w:tc>
          <w:tcPr>
            <w:tcW w:w="990" w:type="dxa"/>
            <w:vMerge/>
            <w:tcBorders>
              <w:left w:val="nil"/>
              <w:right w:val="single" w:sz="4" w:space="0" w:color="auto"/>
            </w:tcBorders>
            <w:noWrap/>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13"/>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8</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旺</w:t>
            </w:r>
            <w:proofErr w:type="gramStart"/>
            <w:r w:rsidRPr="005330F8">
              <w:rPr>
                <w:rFonts w:ascii="宋体" w:hAnsi="宋体" w:cs="宋体" w:hint="eastAsia"/>
                <w:kern w:val="0"/>
                <w:sz w:val="24"/>
                <w:szCs w:val="24"/>
              </w:rPr>
              <w:t>甫</w:t>
            </w:r>
            <w:proofErr w:type="gramEnd"/>
            <w:r w:rsidRPr="005330F8">
              <w:rPr>
                <w:rFonts w:ascii="宋体" w:hAnsi="宋体" w:cs="宋体" w:hint="eastAsia"/>
                <w:kern w:val="0"/>
                <w:sz w:val="24"/>
                <w:szCs w:val="24"/>
              </w:rPr>
              <w:t>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proofErr w:type="gramStart"/>
            <w:r w:rsidRPr="005330F8">
              <w:rPr>
                <w:rFonts w:ascii="宋体" w:hAnsi="宋体" w:cs="宋体" w:hint="eastAsia"/>
                <w:kern w:val="0"/>
                <w:sz w:val="24"/>
                <w:szCs w:val="24"/>
              </w:rPr>
              <w:t>旺阳线</w:t>
            </w:r>
            <w:proofErr w:type="gramEnd"/>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30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苍梧县恒达型材有限公司</w:t>
            </w:r>
          </w:p>
        </w:tc>
        <w:tc>
          <w:tcPr>
            <w:tcW w:w="990" w:type="dxa"/>
            <w:vMerge/>
            <w:tcBorders>
              <w:left w:val="nil"/>
              <w:right w:val="single" w:sz="4" w:space="0" w:color="auto"/>
            </w:tcBorders>
            <w:noWrap/>
            <w:vAlign w:val="center"/>
          </w:tcPr>
          <w:p w:rsidR="00706AB5" w:rsidRPr="005330F8" w:rsidRDefault="00706AB5" w:rsidP="005C16B4">
            <w:pPr>
              <w:widowControl/>
              <w:jc w:val="left"/>
              <w:rPr>
                <w:rFonts w:ascii="宋体" w:hAnsi="宋体" w:cs="宋体"/>
                <w:kern w:val="0"/>
                <w:sz w:val="24"/>
                <w:szCs w:val="24"/>
              </w:rPr>
            </w:pPr>
          </w:p>
        </w:tc>
      </w:tr>
      <w:tr w:rsidR="00706AB5" w:rsidRPr="005330F8" w:rsidTr="005C16B4">
        <w:trPr>
          <w:trHeight w:val="621"/>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9</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信都变</w:t>
            </w: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荣泰Ⅰ线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15</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贺州鹏达不锈钢金属有限公司</w:t>
            </w:r>
          </w:p>
        </w:tc>
        <w:tc>
          <w:tcPr>
            <w:tcW w:w="990" w:type="dxa"/>
            <w:vMerge/>
            <w:tcBorders>
              <w:left w:val="nil"/>
              <w:right w:val="single" w:sz="4" w:space="0" w:color="auto"/>
            </w:tcBorders>
            <w:noWrap/>
            <w:vAlign w:val="center"/>
          </w:tcPr>
          <w:p w:rsidR="00706AB5" w:rsidRPr="005330F8" w:rsidRDefault="00706AB5" w:rsidP="005C16B4">
            <w:pPr>
              <w:widowControl/>
              <w:jc w:val="left"/>
              <w:rPr>
                <w:rFonts w:ascii="宋体" w:hAnsi="宋体" w:cs="宋体"/>
                <w:kern w:val="0"/>
                <w:sz w:val="24"/>
                <w:szCs w:val="24"/>
              </w:rPr>
            </w:pPr>
          </w:p>
        </w:tc>
      </w:tr>
      <w:tr w:rsidR="00706AB5" w:rsidRPr="005330F8" w:rsidTr="005C16B4">
        <w:trPr>
          <w:trHeight w:val="621"/>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10</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proofErr w:type="gramStart"/>
            <w:r w:rsidRPr="005330F8">
              <w:rPr>
                <w:rFonts w:ascii="宋体" w:hAnsi="宋体" w:cs="宋体" w:hint="eastAsia"/>
                <w:kern w:val="0"/>
                <w:sz w:val="24"/>
                <w:szCs w:val="24"/>
              </w:rPr>
              <w:t>西湾变</w:t>
            </w:r>
            <w:proofErr w:type="gramEnd"/>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东水Ⅰ线</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w:t>
            </w:r>
            <w:r w:rsidRPr="005330F8">
              <w:rPr>
                <w:rFonts w:ascii="宋体" w:hAnsi="宋体" w:cs="宋体"/>
                <w:kern w:val="0"/>
                <w:sz w:val="24"/>
                <w:szCs w:val="24"/>
              </w:rPr>
              <w:t>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jc w:val="center"/>
              <w:rPr>
                <w:rFonts w:ascii="宋体" w:hAnsi="宋体" w:cs="宋体"/>
                <w:color w:val="000000"/>
                <w:sz w:val="24"/>
                <w:szCs w:val="24"/>
              </w:rPr>
            </w:pPr>
            <w:r w:rsidRPr="005330F8">
              <w:rPr>
                <w:rFonts w:ascii="宋体" w:hAnsi="宋体" w:hint="eastAsia"/>
                <w:color w:val="000000"/>
                <w:sz w:val="24"/>
                <w:szCs w:val="24"/>
              </w:rPr>
              <w:t>广西贺州市金山金属制品有限公司</w:t>
            </w:r>
          </w:p>
        </w:tc>
        <w:tc>
          <w:tcPr>
            <w:tcW w:w="990" w:type="dxa"/>
            <w:vMerge/>
            <w:tcBorders>
              <w:left w:val="nil"/>
              <w:bottom w:val="single" w:sz="4" w:space="0" w:color="auto"/>
              <w:right w:val="single" w:sz="4" w:space="0" w:color="auto"/>
            </w:tcBorders>
            <w:noWrap/>
            <w:vAlign w:val="center"/>
          </w:tcPr>
          <w:p w:rsidR="00706AB5" w:rsidRPr="005330F8" w:rsidRDefault="00706AB5" w:rsidP="005C16B4">
            <w:pPr>
              <w:widowControl/>
              <w:jc w:val="left"/>
              <w:rPr>
                <w:rFonts w:ascii="宋体" w:hAnsi="宋体" w:cs="宋体"/>
                <w:kern w:val="0"/>
                <w:sz w:val="24"/>
                <w:szCs w:val="24"/>
              </w:rPr>
            </w:pPr>
          </w:p>
        </w:tc>
      </w:tr>
      <w:tr w:rsidR="00706AB5" w:rsidRPr="005330F8" w:rsidTr="005C16B4">
        <w:trPr>
          <w:trHeight w:val="621"/>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w:t>
            </w:r>
            <w:r w:rsidRPr="005330F8">
              <w:rPr>
                <w:rFonts w:ascii="宋体" w:hAnsi="宋体" w:cs="宋体" w:hint="eastAsia"/>
                <w:kern w:val="0"/>
                <w:sz w:val="24"/>
                <w:szCs w:val="24"/>
              </w:rPr>
              <w:t>1</w:t>
            </w:r>
          </w:p>
        </w:tc>
        <w:tc>
          <w:tcPr>
            <w:tcW w:w="2835" w:type="dxa"/>
            <w:gridSpan w:val="2"/>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趸售</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13</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钟山</w:t>
            </w:r>
            <w:proofErr w:type="gramStart"/>
            <w:r w:rsidRPr="005330F8">
              <w:rPr>
                <w:rFonts w:ascii="宋体" w:hAnsi="宋体" w:cs="宋体" w:hint="eastAsia"/>
                <w:kern w:val="0"/>
                <w:sz w:val="24"/>
                <w:szCs w:val="24"/>
              </w:rPr>
              <w:t>水利电</w:t>
            </w:r>
            <w:proofErr w:type="gramEnd"/>
            <w:r w:rsidRPr="005330F8">
              <w:rPr>
                <w:rFonts w:ascii="宋体" w:hAnsi="宋体" w:cs="宋体" w:hint="eastAsia"/>
                <w:kern w:val="0"/>
                <w:sz w:val="24"/>
                <w:szCs w:val="24"/>
              </w:rPr>
              <w:t>业</w:t>
            </w:r>
          </w:p>
        </w:tc>
        <w:tc>
          <w:tcPr>
            <w:tcW w:w="990" w:type="dxa"/>
            <w:vMerge w:val="restart"/>
            <w:tcBorders>
              <w:top w:val="nil"/>
              <w:left w:val="nil"/>
              <w:right w:val="single" w:sz="4" w:space="0" w:color="auto"/>
            </w:tcBorders>
            <w:noWrap/>
            <w:vAlign w:val="center"/>
          </w:tcPr>
          <w:p w:rsidR="00706AB5" w:rsidRPr="005330F8" w:rsidRDefault="00706AB5" w:rsidP="005C16B4">
            <w:pPr>
              <w:widowControl/>
              <w:jc w:val="left"/>
              <w:rPr>
                <w:rFonts w:ascii="宋体" w:hAnsi="宋体" w:cs="宋体"/>
                <w:kern w:val="0"/>
                <w:sz w:val="24"/>
                <w:szCs w:val="24"/>
              </w:rPr>
            </w:pPr>
            <w:r w:rsidRPr="005330F8">
              <w:rPr>
                <w:rFonts w:ascii="宋体" w:hAnsi="宋体" w:cs="宋体" w:hint="eastAsia"/>
                <w:kern w:val="0"/>
                <w:sz w:val="24"/>
                <w:szCs w:val="24"/>
              </w:rPr>
              <w:t>合计：64MW</w:t>
            </w:r>
          </w:p>
        </w:tc>
      </w:tr>
      <w:tr w:rsidR="00706AB5" w:rsidRPr="005330F8" w:rsidTr="005C16B4">
        <w:trPr>
          <w:trHeight w:val="621"/>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w:t>
            </w:r>
            <w:r w:rsidRPr="005330F8">
              <w:rPr>
                <w:rFonts w:ascii="宋体" w:hAnsi="宋体" w:cs="宋体" w:hint="eastAsia"/>
                <w:kern w:val="0"/>
                <w:sz w:val="24"/>
                <w:szCs w:val="24"/>
              </w:rPr>
              <w:t>2</w:t>
            </w:r>
          </w:p>
        </w:tc>
        <w:tc>
          <w:tcPr>
            <w:tcW w:w="2835" w:type="dxa"/>
            <w:gridSpan w:val="2"/>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趸售</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富川</w:t>
            </w:r>
            <w:proofErr w:type="gramStart"/>
            <w:r w:rsidRPr="005330F8">
              <w:rPr>
                <w:rFonts w:ascii="宋体" w:hAnsi="宋体" w:cs="宋体" w:hint="eastAsia"/>
                <w:kern w:val="0"/>
                <w:sz w:val="24"/>
                <w:szCs w:val="24"/>
              </w:rPr>
              <w:t>水利电</w:t>
            </w:r>
            <w:proofErr w:type="gramEnd"/>
            <w:r w:rsidRPr="005330F8">
              <w:rPr>
                <w:rFonts w:ascii="宋体" w:hAnsi="宋体" w:cs="宋体" w:hint="eastAsia"/>
                <w:kern w:val="0"/>
                <w:sz w:val="24"/>
                <w:szCs w:val="24"/>
              </w:rPr>
              <w:t>业</w:t>
            </w:r>
          </w:p>
        </w:tc>
        <w:tc>
          <w:tcPr>
            <w:tcW w:w="990" w:type="dxa"/>
            <w:vMerge/>
            <w:tcBorders>
              <w:left w:val="nil"/>
              <w:right w:val="single" w:sz="4" w:space="0" w:color="auto"/>
            </w:tcBorders>
            <w:noWrap/>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01"/>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w:t>
            </w:r>
            <w:r w:rsidRPr="005330F8">
              <w:rPr>
                <w:rFonts w:ascii="宋体" w:hAnsi="宋体" w:cs="宋体" w:hint="eastAsia"/>
                <w:kern w:val="0"/>
                <w:sz w:val="24"/>
                <w:szCs w:val="24"/>
              </w:rPr>
              <w:t>3</w:t>
            </w:r>
          </w:p>
        </w:tc>
        <w:tc>
          <w:tcPr>
            <w:tcW w:w="2835" w:type="dxa"/>
            <w:gridSpan w:val="2"/>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趸售</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10</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widowControl/>
              <w:jc w:val="center"/>
              <w:rPr>
                <w:rFonts w:ascii="宋体" w:hAnsi="宋体" w:cs="宋体"/>
                <w:kern w:val="0"/>
                <w:sz w:val="24"/>
                <w:szCs w:val="24"/>
              </w:rPr>
            </w:pPr>
            <w:proofErr w:type="gramStart"/>
            <w:r w:rsidRPr="005330F8">
              <w:rPr>
                <w:rFonts w:ascii="宋体" w:hAnsi="宋体" w:cs="宋体" w:hint="eastAsia"/>
                <w:kern w:val="0"/>
                <w:sz w:val="24"/>
                <w:szCs w:val="24"/>
              </w:rPr>
              <w:t>平桂电力</w:t>
            </w:r>
            <w:proofErr w:type="gramEnd"/>
          </w:p>
        </w:tc>
        <w:tc>
          <w:tcPr>
            <w:tcW w:w="990" w:type="dxa"/>
            <w:vMerge/>
            <w:tcBorders>
              <w:left w:val="nil"/>
              <w:right w:val="single" w:sz="4" w:space="0" w:color="auto"/>
            </w:tcBorders>
            <w:noWrap/>
            <w:vAlign w:val="center"/>
          </w:tcPr>
          <w:p w:rsidR="00706AB5" w:rsidRPr="005330F8" w:rsidRDefault="00706AB5" w:rsidP="005C16B4">
            <w:pPr>
              <w:jc w:val="left"/>
              <w:rPr>
                <w:rFonts w:ascii="宋体" w:hAnsi="宋体" w:cs="宋体"/>
                <w:kern w:val="0"/>
                <w:sz w:val="24"/>
                <w:szCs w:val="24"/>
              </w:rPr>
            </w:pPr>
          </w:p>
        </w:tc>
      </w:tr>
      <w:tr w:rsidR="00706AB5" w:rsidRPr="005330F8" w:rsidTr="005C16B4">
        <w:trPr>
          <w:trHeight w:val="623"/>
          <w:jc w:val="center"/>
        </w:trPr>
        <w:tc>
          <w:tcPr>
            <w:tcW w:w="582" w:type="dxa"/>
            <w:tcBorders>
              <w:top w:val="nil"/>
              <w:left w:val="single" w:sz="4" w:space="0" w:color="auto"/>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kern w:val="0"/>
                <w:sz w:val="24"/>
                <w:szCs w:val="24"/>
              </w:rPr>
              <w:t>1</w:t>
            </w:r>
            <w:r w:rsidRPr="005330F8">
              <w:rPr>
                <w:rFonts w:ascii="宋体" w:hAnsi="宋体" w:cs="宋体" w:hint="eastAsia"/>
                <w:kern w:val="0"/>
                <w:sz w:val="24"/>
                <w:szCs w:val="24"/>
              </w:rPr>
              <w:t>4</w:t>
            </w:r>
          </w:p>
        </w:tc>
        <w:tc>
          <w:tcPr>
            <w:tcW w:w="2835" w:type="dxa"/>
            <w:gridSpan w:val="2"/>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趸售</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7</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昭平</w:t>
            </w:r>
            <w:proofErr w:type="gramStart"/>
            <w:r w:rsidRPr="005330F8">
              <w:rPr>
                <w:rFonts w:ascii="宋体" w:hAnsi="宋体" w:cs="宋体" w:hint="eastAsia"/>
                <w:kern w:val="0"/>
                <w:sz w:val="24"/>
                <w:szCs w:val="24"/>
              </w:rPr>
              <w:t>水利电</w:t>
            </w:r>
            <w:proofErr w:type="gramEnd"/>
            <w:r w:rsidRPr="005330F8">
              <w:rPr>
                <w:rFonts w:ascii="宋体" w:hAnsi="宋体" w:cs="宋体" w:hint="eastAsia"/>
                <w:kern w:val="0"/>
                <w:sz w:val="24"/>
                <w:szCs w:val="24"/>
              </w:rPr>
              <w:t>业</w:t>
            </w:r>
          </w:p>
        </w:tc>
        <w:tc>
          <w:tcPr>
            <w:tcW w:w="990" w:type="dxa"/>
            <w:vMerge/>
            <w:tcBorders>
              <w:left w:val="nil"/>
              <w:right w:val="single" w:sz="4" w:space="0" w:color="auto"/>
            </w:tcBorders>
            <w:noWrap/>
            <w:vAlign w:val="center"/>
          </w:tcPr>
          <w:p w:rsidR="00706AB5" w:rsidRPr="005330F8" w:rsidRDefault="00706AB5" w:rsidP="005C16B4">
            <w:pPr>
              <w:widowControl/>
              <w:jc w:val="left"/>
              <w:rPr>
                <w:rFonts w:ascii="宋体" w:hAnsi="宋体" w:cs="宋体"/>
                <w:kern w:val="0"/>
                <w:sz w:val="24"/>
                <w:szCs w:val="24"/>
              </w:rPr>
            </w:pPr>
          </w:p>
        </w:tc>
      </w:tr>
      <w:tr w:rsidR="00706AB5" w:rsidRPr="005330F8" w:rsidTr="005C16B4">
        <w:trPr>
          <w:trHeight w:val="582"/>
          <w:jc w:val="center"/>
        </w:trPr>
        <w:tc>
          <w:tcPr>
            <w:tcW w:w="582" w:type="dxa"/>
            <w:tcBorders>
              <w:top w:val="single" w:sz="4" w:space="0" w:color="auto"/>
              <w:left w:val="single" w:sz="4" w:space="0" w:color="auto"/>
              <w:bottom w:val="single" w:sz="4" w:space="0" w:color="auto"/>
              <w:right w:val="single" w:sz="4" w:space="0" w:color="000000"/>
            </w:tcBorders>
          </w:tcPr>
          <w:p w:rsidR="00706AB5" w:rsidRPr="005330F8" w:rsidRDefault="00706AB5" w:rsidP="005C16B4">
            <w:pPr>
              <w:widowControl/>
              <w:jc w:val="left"/>
              <w:rPr>
                <w:rFonts w:ascii="宋体" w:hAnsi="宋体" w:cs="宋体"/>
                <w:b/>
                <w:bCs/>
                <w:kern w:val="0"/>
                <w:sz w:val="24"/>
                <w:szCs w:val="24"/>
              </w:rPr>
            </w:pPr>
            <w:r w:rsidRPr="005330F8">
              <w:rPr>
                <w:rFonts w:ascii="宋体" w:hAnsi="宋体" w:cs="宋体" w:hint="eastAsia"/>
                <w:b/>
                <w:bCs/>
                <w:kern w:val="0"/>
                <w:sz w:val="24"/>
                <w:szCs w:val="24"/>
              </w:rPr>
              <w:t xml:space="preserve">   15</w:t>
            </w:r>
          </w:p>
        </w:tc>
        <w:tc>
          <w:tcPr>
            <w:tcW w:w="2835" w:type="dxa"/>
            <w:gridSpan w:val="2"/>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趸售</w:t>
            </w: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24</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Ⅲ</w:t>
            </w:r>
          </w:p>
        </w:tc>
        <w:tc>
          <w:tcPr>
            <w:tcW w:w="3073" w:type="dxa"/>
            <w:tcBorders>
              <w:top w:val="nil"/>
              <w:left w:val="nil"/>
              <w:bottom w:val="single" w:sz="4" w:space="0" w:color="auto"/>
              <w:right w:val="single" w:sz="4" w:space="0" w:color="auto"/>
            </w:tcBorders>
            <w:noWrap/>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桂源</w:t>
            </w:r>
            <w:proofErr w:type="gramStart"/>
            <w:r w:rsidRPr="005330F8">
              <w:rPr>
                <w:rFonts w:ascii="宋体" w:hAnsi="宋体" w:cs="宋体" w:hint="eastAsia"/>
                <w:kern w:val="0"/>
                <w:sz w:val="24"/>
                <w:szCs w:val="24"/>
              </w:rPr>
              <w:t>水利电</w:t>
            </w:r>
            <w:proofErr w:type="gramEnd"/>
            <w:r w:rsidRPr="005330F8">
              <w:rPr>
                <w:rFonts w:ascii="宋体" w:hAnsi="宋体" w:cs="宋体" w:hint="eastAsia"/>
                <w:kern w:val="0"/>
                <w:sz w:val="24"/>
                <w:szCs w:val="24"/>
              </w:rPr>
              <w:t>业</w:t>
            </w:r>
          </w:p>
        </w:tc>
        <w:tc>
          <w:tcPr>
            <w:tcW w:w="990" w:type="dxa"/>
            <w:vMerge/>
            <w:tcBorders>
              <w:left w:val="nil"/>
              <w:bottom w:val="single" w:sz="4" w:space="0" w:color="auto"/>
              <w:right w:val="single" w:sz="4" w:space="0" w:color="auto"/>
            </w:tcBorders>
            <w:noWrap/>
            <w:vAlign w:val="center"/>
          </w:tcPr>
          <w:p w:rsidR="00706AB5" w:rsidRPr="005330F8" w:rsidRDefault="00706AB5" w:rsidP="005C16B4">
            <w:pPr>
              <w:widowControl/>
              <w:jc w:val="left"/>
              <w:rPr>
                <w:rFonts w:ascii="宋体" w:hAnsi="宋体" w:cs="宋体"/>
                <w:kern w:val="0"/>
                <w:sz w:val="24"/>
                <w:szCs w:val="24"/>
              </w:rPr>
            </w:pPr>
          </w:p>
        </w:tc>
      </w:tr>
      <w:tr w:rsidR="00706AB5" w:rsidRPr="005330F8" w:rsidTr="005C16B4">
        <w:trPr>
          <w:trHeight w:val="632"/>
          <w:jc w:val="center"/>
        </w:trPr>
        <w:tc>
          <w:tcPr>
            <w:tcW w:w="582" w:type="dxa"/>
            <w:tcBorders>
              <w:top w:val="single" w:sz="4" w:space="0" w:color="auto"/>
              <w:left w:val="single" w:sz="4" w:space="0" w:color="auto"/>
              <w:bottom w:val="single" w:sz="4" w:space="0" w:color="auto"/>
              <w:right w:val="single" w:sz="4" w:space="0" w:color="000000"/>
            </w:tcBorders>
          </w:tcPr>
          <w:p w:rsidR="00706AB5" w:rsidRPr="005330F8" w:rsidRDefault="00706AB5" w:rsidP="005C16B4">
            <w:pPr>
              <w:widowControl/>
              <w:jc w:val="center"/>
              <w:rPr>
                <w:rFonts w:ascii="宋体" w:hAnsi="宋体" w:cs="宋体"/>
                <w:b/>
                <w:bCs/>
                <w:color w:val="FF0000"/>
                <w:kern w:val="0"/>
                <w:sz w:val="24"/>
                <w:szCs w:val="24"/>
              </w:rPr>
            </w:pPr>
            <w:r w:rsidRPr="005330F8">
              <w:rPr>
                <w:rFonts w:ascii="宋体" w:hAnsi="宋体" w:cs="宋体" w:hint="eastAsia"/>
                <w:kern w:val="0"/>
                <w:sz w:val="24"/>
                <w:szCs w:val="24"/>
              </w:rPr>
              <w:t>总计</w:t>
            </w:r>
          </w:p>
        </w:tc>
        <w:tc>
          <w:tcPr>
            <w:tcW w:w="1276"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color w:val="FF0000"/>
                <w:kern w:val="0"/>
                <w:sz w:val="24"/>
                <w:szCs w:val="24"/>
              </w:rPr>
            </w:pPr>
          </w:p>
        </w:tc>
        <w:tc>
          <w:tcPr>
            <w:tcW w:w="1559"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color w:val="FF0000"/>
                <w:kern w:val="0"/>
                <w:sz w:val="24"/>
                <w:szCs w:val="24"/>
              </w:rPr>
            </w:pPr>
          </w:p>
        </w:tc>
        <w:tc>
          <w:tcPr>
            <w:tcW w:w="1134"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kern w:val="0"/>
                <w:sz w:val="24"/>
                <w:szCs w:val="24"/>
              </w:rPr>
            </w:pPr>
            <w:r w:rsidRPr="005330F8">
              <w:rPr>
                <w:rFonts w:ascii="宋体" w:hAnsi="宋体" w:cs="宋体" w:hint="eastAsia"/>
                <w:kern w:val="0"/>
                <w:sz w:val="24"/>
                <w:szCs w:val="24"/>
              </w:rPr>
              <w:t>241</w:t>
            </w:r>
          </w:p>
        </w:tc>
        <w:tc>
          <w:tcPr>
            <w:tcW w:w="851"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color w:val="FF0000"/>
                <w:kern w:val="0"/>
                <w:sz w:val="24"/>
                <w:szCs w:val="24"/>
              </w:rPr>
            </w:pPr>
          </w:p>
        </w:tc>
        <w:tc>
          <w:tcPr>
            <w:tcW w:w="3073" w:type="dxa"/>
            <w:tcBorders>
              <w:top w:val="nil"/>
              <w:left w:val="nil"/>
              <w:bottom w:val="single" w:sz="4" w:space="0" w:color="auto"/>
              <w:right w:val="single" w:sz="4" w:space="0" w:color="auto"/>
            </w:tcBorders>
            <w:vAlign w:val="center"/>
          </w:tcPr>
          <w:p w:rsidR="00706AB5" w:rsidRPr="005330F8" w:rsidRDefault="00706AB5" w:rsidP="005C16B4">
            <w:pPr>
              <w:widowControl/>
              <w:jc w:val="center"/>
              <w:rPr>
                <w:rFonts w:ascii="宋体" w:hAnsi="宋体" w:cs="宋体"/>
                <w:color w:val="FF0000"/>
                <w:kern w:val="0"/>
                <w:sz w:val="24"/>
                <w:szCs w:val="24"/>
              </w:rPr>
            </w:pPr>
          </w:p>
        </w:tc>
        <w:tc>
          <w:tcPr>
            <w:tcW w:w="990" w:type="dxa"/>
            <w:tcBorders>
              <w:top w:val="nil"/>
              <w:left w:val="nil"/>
              <w:bottom w:val="single" w:sz="4" w:space="0" w:color="auto"/>
              <w:right w:val="single" w:sz="4" w:space="0" w:color="auto"/>
            </w:tcBorders>
            <w:vAlign w:val="bottom"/>
          </w:tcPr>
          <w:p w:rsidR="00706AB5" w:rsidRPr="005330F8" w:rsidRDefault="00706AB5" w:rsidP="005C16B4">
            <w:pPr>
              <w:widowControl/>
              <w:jc w:val="left"/>
              <w:rPr>
                <w:rFonts w:ascii="宋体" w:hAnsi="宋体" w:cs="宋体"/>
                <w:color w:val="FF0000"/>
                <w:kern w:val="0"/>
                <w:sz w:val="24"/>
                <w:szCs w:val="24"/>
              </w:rPr>
            </w:pPr>
          </w:p>
        </w:tc>
      </w:tr>
      <w:tr w:rsidR="00706AB5" w:rsidRPr="005330F8" w:rsidTr="005C16B4">
        <w:trPr>
          <w:trHeight w:val="1379"/>
          <w:jc w:val="center"/>
        </w:trPr>
        <w:tc>
          <w:tcPr>
            <w:tcW w:w="9465" w:type="dxa"/>
            <w:gridSpan w:val="7"/>
            <w:tcBorders>
              <w:top w:val="single" w:sz="4" w:space="0" w:color="auto"/>
              <w:left w:val="single" w:sz="4" w:space="0" w:color="auto"/>
              <w:bottom w:val="single" w:sz="4" w:space="0" w:color="auto"/>
              <w:right w:val="single" w:sz="4" w:space="0" w:color="000000"/>
            </w:tcBorders>
          </w:tcPr>
          <w:p w:rsidR="00706AB5" w:rsidRPr="005330F8" w:rsidRDefault="00706AB5" w:rsidP="005C16B4">
            <w:pPr>
              <w:widowControl/>
              <w:jc w:val="left"/>
              <w:rPr>
                <w:rFonts w:ascii="宋体" w:hAnsi="宋体" w:cs="宋体"/>
                <w:b/>
                <w:bCs/>
                <w:kern w:val="0"/>
                <w:sz w:val="24"/>
                <w:szCs w:val="24"/>
              </w:rPr>
            </w:pPr>
            <w:r w:rsidRPr="005330F8">
              <w:rPr>
                <w:rFonts w:ascii="宋体" w:hAnsi="宋体" w:cs="宋体" w:hint="eastAsia"/>
                <w:b/>
                <w:bCs/>
                <w:color w:val="000000"/>
                <w:kern w:val="0"/>
                <w:sz w:val="24"/>
                <w:szCs w:val="24"/>
              </w:rPr>
              <w:t>说明：</w:t>
            </w:r>
            <w:r w:rsidRPr="005330F8">
              <w:rPr>
                <w:rFonts w:ascii="宋体" w:hAnsi="宋体" w:cs="宋体" w:hint="eastAsia"/>
                <w:b/>
                <w:bCs/>
                <w:color w:val="000000"/>
                <w:kern w:val="0"/>
                <w:sz w:val="24"/>
                <w:szCs w:val="24"/>
              </w:rPr>
              <w:br/>
            </w:r>
            <w:r w:rsidRPr="005330F8">
              <w:rPr>
                <w:rFonts w:ascii="宋体" w:hAnsi="宋体"/>
                <w:b/>
                <w:bCs/>
                <w:color w:val="000000"/>
                <w:kern w:val="0"/>
                <w:sz w:val="24"/>
                <w:szCs w:val="24"/>
              </w:rPr>
              <w:t>1</w:t>
            </w:r>
            <w:r w:rsidRPr="005330F8">
              <w:rPr>
                <w:rFonts w:ascii="宋体" w:hAnsi="宋体" w:cs="宋体" w:hint="eastAsia"/>
                <w:b/>
                <w:bCs/>
                <w:color w:val="000000"/>
                <w:kern w:val="0"/>
                <w:sz w:val="24"/>
                <w:szCs w:val="24"/>
              </w:rPr>
              <w:t>、超计划限电按大于2017年网区最大负荷的30%编制。</w:t>
            </w:r>
            <w:r w:rsidRPr="005330F8">
              <w:rPr>
                <w:rFonts w:ascii="宋体" w:hAnsi="宋体" w:cs="宋体" w:hint="eastAsia"/>
                <w:b/>
                <w:bCs/>
                <w:color w:val="000000"/>
                <w:kern w:val="0"/>
                <w:sz w:val="24"/>
                <w:szCs w:val="24"/>
              </w:rPr>
              <w:br/>
            </w:r>
            <w:r w:rsidRPr="005330F8">
              <w:rPr>
                <w:rFonts w:ascii="宋体" w:hAnsi="宋体"/>
                <w:b/>
                <w:bCs/>
                <w:color w:val="000000"/>
                <w:kern w:val="0"/>
                <w:sz w:val="24"/>
                <w:szCs w:val="24"/>
              </w:rPr>
              <w:t>2</w:t>
            </w:r>
            <w:r w:rsidRPr="005330F8">
              <w:rPr>
                <w:rFonts w:ascii="宋体" w:hAnsi="宋体" w:cs="宋体" w:hint="eastAsia"/>
                <w:b/>
                <w:bCs/>
                <w:color w:val="000000"/>
                <w:kern w:val="0"/>
                <w:sz w:val="24"/>
                <w:szCs w:val="24"/>
              </w:rPr>
              <w:t>、</w:t>
            </w:r>
            <w:r w:rsidRPr="005330F8">
              <w:rPr>
                <w:rFonts w:ascii="宋体" w:hAnsi="宋体" w:hint="eastAsia"/>
                <w:b/>
                <w:sz w:val="24"/>
                <w:szCs w:val="24"/>
              </w:rPr>
              <w:t>超计划用电限电原则：根据电力管理部门或上级调度下达的限电负荷数量，通知限电用户按限电负荷数量在规定时间内限电。</w:t>
            </w:r>
          </w:p>
        </w:tc>
      </w:tr>
    </w:tbl>
    <w:p w:rsidR="00706AB5" w:rsidRPr="004D5C2A" w:rsidRDefault="00706AB5" w:rsidP="00706AB5">
      <w:pPr>
        <w:rPr>
          <w:rFonts w:ascii="仿宋_GB2312" w:eastAsia="仿宋_GB2312"/>
          <w:sz w:val="30"/>
          <w:szCs w:val="30"/>
        </w:rPr>
      </w:pPr>
    </w:p>
    <w:p w:rsidR="00E22F71" w:rsidRPr="00706AB5" w:rsidRDefault="00DB1F2C"/>
    <w:sectPr w:rsidR="00E22F71" w:rsidRPr="00706AB5" w:rsidSect="009455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B5" w:rsidRDefault="00706AB5" w:rsidP="00706AB5">
      <w:r>
        <w:separator/>
      </w:r>
    </w:p>
  </w:endnote>
  <w:endnote w:type="continuationSeparator" w:id="0">
    <w:p w:rsidR="00706AB5" w:rsidRDefault="00706AB5" w:rsidP="0070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B5" w:rsidRDefault="00706AB5" w:rsidP="00706AB5">
      <w:r>
        <w:separator/>
      </w:r>
    </w:p>
  </w:footnote>
  <w:footnote w:type="continuationSeparator" w:id="0">
    <w:p w:rsidR="00706AB5" w:rsidRDefault="00706AB5" w:rsidP="00706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4F"/>
    <w:rsid w:val="00023D54"/>
    <w:rsid w:val="00042130"/>
    <w:rsid w:val="001C7CF7"/>
    <w:rsid w:val="001E344F"/>
    <w:rsid w:val="001F6DF4"/>
    <w:rsid w:val="0034196D"/>
    <w:rsid w:val="00354FF2"/>
    <w:rsid w:val="003D315E"/>
    <w:rsid w:val="004228D5"/>
    <w:rsid w:val="00440DF7"/>
    <w:rsid w:val="00473FA4"/>
    <w:rsid w:val="004E2FA1"/>
    <w:rsid w:val="00542466"/>
    <w:rsid w:val="00564CE0"/>
    <w:rsid w:val="005842DD"/>
    <w:rsid w:val="0059321B"/>
    <w:rsid w:val="005A4D3A"/>
    <w:rsid w:val="005E3604"/>
    <w:rsid w:val="00611335"/>
    <w:rsid w:val="006F09E0"/>
    <w:rsid w:val="00706AB5"/>
    <w:rsid w:val="007C60B9"/>
    <w:rsid w:val="007D2679"/>
    <w:rsid w:val="00802AC4"/>
    <w:rsid w:val="0082451D"/>
    <w:rsid w:val="00830DC0"/>
    <w:rsid w:val="00842A3F"/>
    <w:rsid w:val="008B4ABD"/>
    <w:rsid w:val="009225E1"/>
    <w:rsid w:val="0099006B"/>
    <w:rsid w:val="009A24DC"/>
    <w:rsid w:val="00A56381"/>
    <w:rsid w:val="00A75ADB"/>
    <w:rsid w:val="00AD25F6"/>
    <w:rsid w:val="00B47611"/>
    <w:rsid w:val="00CD268B"/>
    <w:rsid w:val="00D74BA2"/>
    <w:rsid w:val="00D9279C"/>
    <w:rsid w:val="00DB1F2C"/>
    <w:rsid w:val="00DD2B44"/>
    <w:rsid w:val="00DF610E"/>
    <w:rsid w:val="00E837BE"/>
    <w:rsid w:val="00EB1AA5"/>
    <w:rsid w:val="00F12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A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6AB5"/>
    <w:rPr>
      <w:sz w:val="18"/>
      <w:szCs w:val="18"/>
    </w:rPr>
  </w:style>
  <w:style w:type="paragraph" w:styleId="a4">
    <w:name w:val="footer"/>
    <w:basedOn w:val="a"/>
    <w:link w:val="Char0"/>
    <w:uiPriority w:val="99"/>
    <w:unhideWhenUsed/>
    <w:rsid w:val="00706A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6AB5"/>
    <w:rPr>
      <w:sz w:val="18"/>
      <w:szCs w:val="18"/>
    </w:rPr>
  </w:style>
  <w:style w:type="paragraph" w:styleId="a5">
    <w:name w:val="Balloon Text"/>
    <w:basedOn w:val="a"/>
    <w:link w:val="Char1"/>
    <w:uiPriority w:val="99"/>
    <w:semiHidden/>
    <w:unhideWhenUsed/>
    <w:rsid w:val="009225E1"/>
    <w:rPr>
      <w:sz w:val="18"/>
      <w:szCs w:val="18"/>
    </w:rPr>
  </w:style>
  <w:style w:type="character" w:customStyle="1" w:styleId="Char1">
    <w:name w:val="批注框文本 Char"/>
    <w:basedOn w:val="a0"/>
    <w:link w:val="a5"/>
    <w:uiPriority w:val="99"/>
    <w:semiHidden/>
    <w:rsid w:val="009225E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A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6AB5"/>
    <w:rPr>
      <w:sz w:val="18"/>
      <w:szCs w:val="18"/>
    </w:rPr>
  </w:style>
  <w:style w:type="paragraph" w:styleId="a4">
    <w:name w:val="footer"/>
    <w:basedOn w:val="a"/>
    <w:link w:val="Char0"/>
    <w:uiPriority w:val="99"/>
    <w:unhideWhenUsed/>
    <w:rsid w:val="00706A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6AB5"/>
    <w:rPr>
      <w:sz w:val="18"/>
      <w:szCs w:val="18"/>
    </w:rPr>
  </w:style>
  <w:style w:type="paragraph" w:styleId="a5">
    <w:name w:val="Balloon Text"/>
    <w:basedOn w:val="a"/>
    <w:link w:val="Char1"/>
    <w:uiPriority w:val="99"/>
    <w:semiHidden/>
    <w:unhideWhenUsed/>
    <w:rsid w:val="009225E1"/>
    <w:rPr>
      <w:sz w:val="18"/>
      <w:szCs w:val="18"/>
    </w:rPr>
  </w:style>
  <w:style w:type="character" w:customStyle="1" w:styleId="Char1">
    <w:name w:val="批注框文本 Char"/>
    <w:basedOn w:val="a0"/>
    <w:link w:val="a5"/>
    <w:uiPriority w:val="99"/>
    <w:semiHidden/>
    <w:rsid w:val="009225E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459</Words>
  <Characters>2617</Characters>
  <Application>Microsoft Office Word</Application>
  <DocSecurity>0</DocSecurity>
  <Lines>21</Lines>
  <Paragraphs>6</Paragraphs>
  <ScaleCrop>false</ScaleCrop>
  <Company>china</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黄燕琼</dc:creator>
  <cp:keywords/>
  <dc:description/>
  <cp:lastModifiedBy>黄燕琼</cp:lastModifiedBy>
  <cp:revision>6</cp:revision>
  <cp:lastPrinted>2018-03-08T08:58:00Z</cp:lastPrinted>
  <dcterms:created xsi:type="dcterms:W3CDTF">2018-03-08T02:10:00Z</dcterms:created>
  <dcterms:modified xsi:type="dcterms:W3CDTF">2018-03-08T09:30:00Z</dcterms:modified>
</cp:coreProperties>
</file>