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295A" w14:textId="77777777" w:rsidR="008B1F7D" w:rsidRDefault="008B1F7D">
      <w:pPr>
        <w:widowControl/>
        <w:jc w:val="center"/>
        <w:rPr>
          <w:rFonts w:ascii="Times New Roman" w:eastAsia="黑体" w:cs="Times New Roman"/>
          <w:b/>
          <w:w w:val="95"/>
          <w:kern w:val="0"/>
          <w:sz w:val="44"/>
        </w:rPr>
      </w:pPr>
    </w:p>
    <w:p w14:paraId="41A74666" w14:textId="77777777" w:rsidR="008B1F7D" w:rsidRDefault="008B1F7D">
      <w:pPr>
        <w:widowControl/>
        <w:jc w:val="center"/>
        <w:rPr>
          <w:rFonts w:ascii="Times New Roman" w:eastAsia="黑体" w:cs="Times New Roman"/>
          <w:b/>
          <w:w w:val="95"/>
          <w:kern w:val="0"/>
          <w:sz w:val="44"/>
        </w:rPr>
      </w:pPr>
    </w:p>
    <w:p w14:paraId="494495B0" w14:textId="77777777" w:rsidR="008B1F7D" w:rsidRDefault="008B1F7D">
      <w:pPr>
        <w:widowControl/>
        <w:jc w:val="center"/>
        <w:rPr>
          <w:rFonts w:ascii="Times New Roman" w:eastAsia="黑体" w:cs="Times New Roman"/>
          <w:b/>
          <w:w w:val="95"/>
          <w:kern w:val="0"/>
          <w:sz w:val="44"/>
        </w:rPr>
      </w:pPr>
    </w:p>
    <w:p w14:paraId="672F6A96" w14:textId="77777777" w:rsidR="008B1F7D" w:rsidRDefault="005C1DA5">
      <w:pPr>
        <w:widowControl/>
        <w:jc w:val="center"/>
        <w:rPr>
          <w:rFonts w:ascii="Times New Roman" w:eastAsia="黑体" w:cs="Times New Roman"/>
          <w:b/>
          <w:w w:val="95"/>
          <w:kern w:val="0"/>
          <w:sz w:val="36"/>
          <w:szCs w:val="36"/>
        </w:rPr>
      </w:pPr>
      <w:bookmarkStart w:id="0" w:name="_Hlk62634126"/>
      <w:r>
        <w:rPr>
          <w:rFonts w:ascii="Times New Roman" w:eastAsia="黑体" w:cs="Times New Roman" w:hint="eastAsia"/>
          <w:b/>
          <w:w w:val="95"/>
          <w:kern w:val="0"/>
          <w:sz w:val="36"/>
          <w:szCs w:val="36"/>
        </w:rPr>
        <w:t>国</w:t>
      </w:r>
      <w:proofErr w:type="gramStart"/>
      <w:r>
        <w:rPr>
          <w:rFonts w:ascii="Times New Roman" w:eastAsia="黑体" w:cs="Times New Roman" w:hint="eastAsia"/>
          <w:b/>
          <w:w w:val="95"/>
          <w:kern w:val="0"/>
          <w:sz w:val="36"/>
          <w:szCs w:val="36"/>
        </w:rPr>
        <w:t>海证券</w:t>
      </w:r>
      <w:proofErr w:type="gramEnd"/>
      <w:r>
        <w:rPr>
          <w:rFonts w:ascii="Times New Roman" w:eastAsia="黑体" w:cs="Times New Roman" w:hint="eastAsia"/>
          <w:b/>
          <w:w w:val="95"/>
          <w:kern w:val="0"/>
          <w:sz w:val="36"/>
          <w:szCs w:val="36"/>
        </w:rPr>
        <w:t>股份有限公司</w:t>
      </w:r>
    </w:p>
    <w:p w14:paraId="2118DAAE" w14:textId="77777777" w:rsidR="008B1F7D" w:rsidRDefault="005C1DA5">
      <w:pPr>
        <w:widowControl/>
        <w:jc w:val="center"/>
        <w:rPr>
          <w:rFonts w:ascii="Times New Roman" w:eastAsia="黑体" w:cs="Times New Roman"/>
          <w:b/>
          <w:w w:val="95"/>
          <w:kern w:val="0"/>
          <w:sz w:val="36"/>
          <w:szCs w:val="36"/>
        </w:rPr>
      </w:pPr>
      <w:r>
        <w:rPr>
          <w:rFonts w:ascii="Times New Roman" w:eastAsia="黑体" w:cs="Times New Roman" w:hint="eastAsia"/>
          <w:b/>
          <w:w w:val="95"/>
          <w:kern w:val="0"/>
          <w:sz w:val="36"/>
          <w:szCs w:val="36"/>
        </w:rPr>
        <w:t>关于</w:t>
      </w:r>
    </w:p>
    <w:p w14:paraId="518A050D" w14:textId="77777777" w:rsidR="008B1F7D" w:rsidRDefault="005C1DA5">
      <w:pPr>
        <w:widowControl/>
        <w:jc w:val="center"/>
        <w:rPr>
          <w:rFonts w:ascii="Times New Roman" w:eastAsia="黑体" w:cs="Times New Roman"/>
          <w:b/>
          <w:w w:val="95"/>
          <w:kern w:val="0"/>
          <w:sz w:val="36"/>
          <w:szCs w:val="36"/>
        </w:rPr>
      </w:pPr>
      <w:r>
        <w:rPr>
          <w:rFonts w:ascii="Times New Roman" w:eastAsia="黑体" w:cs="Times New Roman" w:hint="eastAsia"/>
          <w:b/>
          <w:w w:val="95"/>
          <w:kern w:val="0"/>
          <w:sz w:val="36"/>
          <w:szCs w:val="36"/>
        </w:rPr>
        <w:t>广西广投能源集团有限公司</w:t>
      </w:r>
    </w:p>
    <w:p w14:paraId="36F09445" w14:textId="77777777" w:rsidR="008B1F7D" w:rsidRDefault="005C1DA5">
      <w:pPr>
        <w:widowControl/>
        <w:jc w:val="center"/>
        <w:rPr>
          <w:rFonts w:ascii="Times New Roman" w:eastAsia="黑体" w:cs="Times New Roman"/>
          <w:b/>
          <w:w w:val="95"/>
          <w:kern w:val="0"/>
          <w:sz w:val="36"/>
          <w:szCs w:val="36"/>
        </w:rPr>
      </w:pPr>
      <w:r>
        <w:rPr>
          <w:rFonts w:ascii="Times New Roman" w:eastAsia="黑体" w:cs="Times New Roman" w:hint="eastAsia"/>
          <w:b/>
          <w:w w:val="95"/>
          <w:kern w:val="0"/>
          <w:sz w:val="36"/>
          <w:szCs w:val="36"/>
        </w:rPr>
        <w:t>免于发出要约收购广西桂东电力股份有限公司</w:t>
      </w:r>
    </w:p>
    <w:p w14:paraId="4674FF05" w14:textId="77777777" w:rsidR="008B1F7D" w:rsidRDefault="005C1DA5">
      <w:pPr>
        <w:widowControl/>
        <w:jc w:val="center"/>
        <w:rPr>
          <w:rFonts w:ascii="Times New Roman" w:eastAsia="黑体" w:cs="Times New Roman"/>
          <w:b/>
          <w:w w:val="95"/>
          <w:kern w:val="0"/>
          <w:sz w:val="36"/>
          <w:szCs w:val="36"/>
        </w:rPr>
      </w:pPr>
      <w:r>
        <w:rPr>
          <w:rFonts w:ascii="Times New Roman" w:eastAsia="黑体" w:cs="Times New Roman" w:hint="eastAsia"/>
          <w:b/>
          <w:w w:val="95"/>
          <w:kern w:val="0"/>
          <w:sz w:val="36"/>
          <w:szCs w:val="36"/>
        </w:rPr>
        <w:t>之</w:t>
      </w:r>
    </w:p>
    <w:p w14:paraId="1168487F" w14:textId="77777777" w:rsidR="008B1F7D" w:rsidRDefault="005C1DA5">
      <w:pPr>
        <w:spacing w:line="319" w:lineRule="auto"/>
        <w:jc w:val="center"/>
        <w:rPr>
          <w:rFonts w:ascii="Times New Roman" w:eastAsia="黑体" w:cs="Times New Roman"/>
          <w:b/>
          <w:w w:val="95"/>
          <w:kern w:val="0"/>
          <w:sz w:val="36"/>
          <w:szCs w:val="36"/>
        </w:rPr>
      </w:pPr>
      <w:r>
        <w:rPr>
          <w:rFonts w:ascii="Times New Roman" w:eastAsia="黑体" w:cs="Times New Roman" w:hint="eastAsia"/>
          <w:b/>
          <w:w w:val="95"/>
          <w:kern w:val="0"/>
          <w:sz w:val="36"/>
          <w:szCs w:val="36"/>
        </w:rPr>
        <w:t>2</w:t>
      </w:r>
      <w:r>
        <w:rPr>
          <w:rFonts w:ascii="Times New Roman" w:eastAsia="黑体" w:cs="Times New Roman"/>
          <w:b/>
          <w:w w:val="95"/>
          <w:kern w:val="0"/>
          <w:sz w:val="36"/>
          <w:szCs w:val="36"/>
        </w:rPr>
        <w:t>022</w:t>
      </w:r>
      <w:r>
        <w:rPr>
          <w:rFonts w:ascii="Times New Roman" w:eastAsia="黑体" w:cs="Times New Roman" w:hint="eastAsia"/>
          <w:b/>
          <w:w w:val="95"/>
          <w:kern w:val="0"/>
          <w:sz w:val="36"/>
          <w:szCs w:val="36"/>
        </w:rPr>
        <w:t>年第一季度持续督导意见</w:t>
      </w:r>
    </w:p>
    <w:bookmarkEnd w:id="0"/>
    <w:p w14:paraId="68B1F644" w14:textId="77777777" w:rsidR="008B1F7D" w:rsidRDefault="008B1F7D"/>
    <w:p w14:paraId="0E418F82" w14:textId="77777777" w:rsidR="008B1F7D" w:rsidRDefault="008B1F7D"/>
    <w:p w14:paraId="042B2AEC" w14:textId="77777777" w:rsidR="008B1F7D" w:rsidRDefault="008B1F7D">
      <w:pPr>
        <w:widowControl/>
        <w:rPr>
          <w:rFonts w:ascii="Times New Roman" w:eastAsia="黑体" w:cs="Times New Roman"/>
          <w:b/>
          <w:w w:val="95"/>
          <w:kern w:val="0"/>
          <w:sz w:val="44"/>
        </w:rPr>
      </w:pPr>
    </w:p>
    <w:p w14:paraId="071A5829" w14:textId="77777777" w:rsidR="008B1F7D" w:rsidRDefault="008B1F7D">
      <w:pPr>
        <w:widowControl/>
        <w:rPr>
          <w:rFonts w:ascii="Times New Roman" w:eastAsia="黑体" w:cs="Times New Roman"/>
          <w:b/>
          <w:w w:val="95"/>
          <w:kern w:val="0"/>
          <w:sz w:val="44"/>
        </w:rPr>
      </w:pPr>
    </w:p>
    <w:p w14:paraId="18B4C7C2" w14:textId="77777777" w:rsidR="008B1F7D" w:rsidRDefault="008B1F7D">
      <w:pPr>
        <w:widowControl/>
        <w:jc w:val="center"/>
        <w:rPr>
          <w:rFonts w:ascii="Times New Roman" w:eastAsia="黑体" w:cs="Times New Roman"/>
          <w:b/>
          <w:w w:val="95"/>
          <w:kern w:val="0"/>
          <w:sz w:val="44"/>
        </w:rPr>
      </w:pPr>
    </w:p>
    <w:p w14:paraId="6A600D0E" w14:textId="77777777" w:rsidR="008B1F7D" w:rsidRDefault="008B1F7D">
      <w:pPr>
        <w:widowControl/>
        <w:jc w:val="center"/>
        <w:rPr>
          <w:rFonts w:ascii="Times New Roman" w:eastAsia="黑体" w:cs="Times New Roman"/>
          <w:b/>
          <w:w w:val="95"/>
          <w:kern w:val="0"/>
          <w:sz w:val="44"/>
        </w:rPr>
      </w:pPr>
    </w:p>
    <w:p w14:paraId="01E1B90B" w14:textId="77777777" w:rsidR="008B1F7D" w:rsidRDefault="005C1DA5">
      <w:pPr>
        <w:widowControl/>
        <w:jc w:val="center"/>
        <w:rPr>
          <w:rFonts w:ascii="Times New Roman" w:eastAsia="黑体" w:cs="Times New Roman"/>
          <w:b/>
          <w:w w:val="95"/>
          <w:kern w:val="0"/>
          <w:sz w:val="36"/>
          <w:szCs w:val="36"/>
        </w:rPr>
      </w:pPr>
      <w:r>
        <w:rPr>
          <w:rFonts w:ascii="Times New Roman" w:eastAsia="黑体" w:cs="Times New Roman" w:hint="eastAsia"/>
          <w:b/>
          <w:w w:val="95"/>
          <w:kern w:val="0"/>
          <w:sz w:val="36"/>
          <w:szCs w:val="36"/>
        </w:rPr>
        <w:t>收购方财务顾问</w:t>
      </w:r>
    </w:p>
    <w:p w14:paraId="4B847E23" w14:textId="77777777" w:rsidR="008B1F7D" w:rsidRDefault="005C1DA5">
      <w:pPr>
        <w:widowControl/>
        <w:jc w:val="center"/>
        <w:rPr>
          <w:rFonts w:ascii="Times New Roman" w:eastAsia="黑体" w:cs="Times New Roman"/>
          <w:b/>
          <w:w w:val="95"/>
          <w:kern w:val="0"/>
          <w:sz w:val="44"/>
        </w:rPr>
      </w:pPr>
      <w:r>
        <w:rPr>
          <w:rFonts w:ascii="Times New Roman" w:eastAsia="黑体" w:cs="Times New Roman"/>
          <w:b/>
          <w:noProof/>
          <w:w w:val="95"/>
          <w:kern w:val="0"/>
          <w:sz w:val="44"/>
        </w:rPr>
        <mc:AlternateContent>
          <mc:Choice Requires="wps">
            <w:drawing>
              <wp:inline distT="0" distB="0" distL="114298" distR="114298" wp14:anchorId="78755816" wp14:editId="48C13210">
                <wp:extent cx="3358553" cy="628640"/>
                <wp:effectExtent l="0" t="0" r="0" b="0"/>
                <wp:docPr id="1" name="组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58553" cy="628640"/>
                          <a:chOff x="0" y="0"/>
                          <a:chExt cx="3358553" cy="628640"/>
                        </a:xfrm>
                        <a:solidFill>
                          <a:srgbClr val="FFFFFF"/>
                        </a:solidFill>
                      </wpg:grpSpPr>
                      <wps:wsp>
                        <wps:cNvPr id="3" name="_s7 3"/>
                        <wps:cNvSpPr/>
                        <wps:spPr>
                          <a:xfrm>
                            <a:off x="0" y="0"/>
                            <a:ext cx="3351567" cy="622283"/>
                          </a:xfrm>
                          <a:prstGeom prst="rect">
                            <a:avLst/>
                          </a:prstGeom>
                          <a:noFill/>
                          <a:ln w="9525" cap="flat" cmpd="sng">
                            <a:noFill/>
                            <a:prstDash val="solid"/>
                            <a:miter/>
                          </a:ln>
                        </wps:spPr>
                        <wps:bodyPr vert="horz" wrap="square" lIns="91440" tIns="45720" rIns="91440" bIns="45720" anchor="t" anchorCtr="0" upright="1">
                          <a:noAutofit/>
                        </wps:bodyPr>
                      </wps:wsp>
                      <pic:pic xmlns:pic="http://schemas.openxmlformats.org/drawingml/2006/picture">
                        <pic:nvPicPr>
                          <pic:cNvPr id="5" name="_s8 5"/>
                          <pic:cNvPicPr/>
                        </pic:nvPicPr>
                        <pic:blipFill>
                          <a:blip r:embed="rId6"/>
                          <a:stretch>
                            <a:fillRect/>
                          </a:stretch>
                        </pic:blipFill>
                        <pic:spPr>
                          <a:xfrm>
                            <a:off x="0" y="0"/>
                            <a:ext cx="3358553" cy="628640"/>
                          </a:xfrm>
                          <a:prstGeom prst="rect">
                            <a:avLst/>
                          </a:prstGeom>
                          <a:noFill/>
                          <a:ln w="9525" cap="flat" cmpd="sng">
                            <a:noFill/>
                            <a:prstDash val="solid"/>
                            <a:miter/>
                          </a:ln>
                        </pic:spPr>
                      </pic:pic>
                    </wpg:wgp>
                  </a:graphicData>
                </a:graphic>
              </wp:inline>
            </w:drawing>
          </mc:Choice>
          <mc:Fallback xmlns:a="http://schemas.openxmlformats.org/drawingml/2006/main" xmlns:pic="http://schemas.openxmlformats.org/drawingml/2006/picture" xmlns:a14="http://schemas.microsoft.com/office/drawing/2010/main">
            <w:pict>
              <v:group type="#_x0000_t1" id="组合 6" o:spid="_x0000_s6" coordorigin="3300,10921" coordsize="5289,989" style="width:264.453pt;height:49.499245pt;">
                <v:rect type="#_x0000_t1" id="_s7" o:spid="_x0000_s7" style="position:absolute;left:3300;top:10921;width:5278;height:979;" filled="f" stroked="f">
                  <v:stroke color="#000000"/>
                </v:rect>
                <v:shape type="#_x0000_t75" id="_s8" o:spid="_x0000_s8" style="position:absolute;left:3300;top:10921;width:5289;height:989;" filled="f" stroked="f">
                  <v:imagedata r:id="rId7" o:title="9894518821651805067307"/>
                  <o:lock aspectratio="t"/>
                  <v:stroke color="#000000"/>
                </v:shape>
                <w10:anchorLock/>
              </v:group>
            </w:pict>
          </mc:Fallback>
        </mc:AlternateContent>
      </w:r>
    </w:p>
    <w:p w14:paraId="34E7E5D3" w14:textId="77777777" w:rsidR="008B1F7D" w:rsidRDefault="008B1F7D">
      <w:pPr>
        <w:spacing w:line="360" w:lineRule="auto"/>
        <w:jc w:val="center"/>
        <w:rPr>
          <w:rFonts w:ascii="Times New Roman" w:eastAsia="黑体"/>
          <w:b/>
          <w:kern w:val="0"/>
          <w:sz w:val="24"/>
          <w:szCs w:val="24"/>
        </w:rPr>
      </w:pPr>
    </w:p>
    <w:p w14:paraId="3F68A9B7" w14:textId="77777777" w:rsidR="008B1F7D" w:rsidRDefault="008B1F7D">
      <w:pPr>
        <w:spacing w:line="360" w:lineRule="auto"/>
        <w:jc w:val="center"/>
        <w:rPr>
          <w:rFonts w:ascii="Times New Roman" w:eastAsia="黑体"/>
          <w:b/>
          <w:kern w:val="0"/>
          <w:sz w:val="24"/>
          <w:szCs w:val="24"/>
        </w:rPr>
      </w:pPr>
    </w:p>
    <w:p w14:paraId="2D43B80F" w14:textId="77777777" w:rsidR="008B1F7D" w:rsidRDefault="005C1DA5">
      <w:pPr>
        <w:spacing w:line="360" w:lineRule="auto"/>
        <w:jc w:val="center"/>
        <w:rPr>
          <w:rFonts w:ascii="Times New Roman" w:eastAsia="黑体"/>
          <w:b/>
          <w:kern w:val="0"/>
          <w:sz w:val="28"/>
          <w:szCs w:val="28"/>
        </w:rPr>
        <w:sectPr w:rsidR="008B1F7D">
          <w:footerReference w:type="default" r:id="rId8"/>
          <w:pgSz w:w="11906" w:h="16838"/>
          <w:pgMar w:top="1440" w:right="1800" w:bottom="1440" w:left="1800" w:header="851" w:footer="992" w:gutter="0"/>
          <w:cols w:space="720"/>
          <w:docGrid w:type="lines" w:linePitch="312"/>
        </w:sectPr>
      </w:pPr>
      <w:r>
        <w:rPr>
          <w:rFonts w:ascii="Times New Roman" w:eastAsia="黑体" w:hint="eastAsia"/>
          <w:b/>
          <w:kern w:val="0"/>
          <w:sz w:val="28"/>
          <w:szCs w:val="28"/>
        </w:rPr>
        <w:t>2</w:t>
      </w:r>
      <w:r>
        <w:rPr>
          <w:rFonts w:ascii="Times New Roman" w:eastAsia="黑体"/>
          <w:b/>
          <w:kern w:val="0"/>
          <w:sz w:val="28"/>
          <w:szCs w:val="28"/>
        </w:rPr>
        <w:t>022</w:t>
      </w:r>
      <w:r>
        <w:rPr>
          <w:rFonts w:ascii="Times New Roman" w:eastAsia="黑体" w:hint="eastAsia"/>
          <w:b/>
          <w:kern w:val="0"/>
          <w:sz w:val="28"/>
          <w:szCs w:val="28"/>
        </w:rPr>
        <w:t>年</w:t>
      </w:r>
      <w:r>
        <w:rPr>
          <w:rFonts w:ascii="Times New Roman" w:eastAsia="黑体"/>
          <w:b/>
          <w:kern w:val="0"/>
          <w:sz w:val="28"/>
          <w:szCs w:val="28"/>
        </w:rPr>
        <w:t>5</w:t>
      </w:r>
      <w:r>
        <w:rPr>
          <w:rFonts w:ascii="Times New Roman" w:eastAsia="黑体" w:hint="eastAsia"/>
          <w:b/>
          <w:kern w:val="0"/>
          <w:sz w:val="28"/>
          <w:szCs w:val="28"/>
        </w:rPr>
        <w:t>月</w:t>
      </w:r>
      <w:bookmarkStart w:id="1" w:name="_Toc531014435"/>
      <w:bookmarkStart w:id="2" w:name="_Toc60756507"/>
      <w:bookmarkStart w:id="3" w:name="_Toc29503221"/>
    </w:p>
    <w:bookmarkEnd w:id="1"/>
    <w:bookmarkEnd w:id="2"/>
    <w:bookmarkEnd w:id="3"/>
    <w:p w14:paraId="19F8E47A" w14:textId="77777777" w:rsidR="008B1F7D" w:rsidRDefault="005C1DA5">
      <w:pPr>
        <w:autoSpaceDE w:val="0"/>
        <w:autoSpaceDN w:val="0"/>
        <w:adjustRightInd w:val="0"/>
        <w:spacing w:beforeLines="50" w:before="156" w:afterLines="50" w:after="156" w:line="360" w:lineRule="auto"/>
        <w:ind w:firstLineChars="200" w:firstLine="480"/>
        <w:rPr>
          <w:rFonts w:ascii="Times New Roman" w:eastAsia="宋体" w:cs="Times New Roman"/>
          <w:color w:val="000000"/>
          <w:kern w:val="0"/>
          <w:sz w:val="24"/>
          <w:szCs w:val="24"/>
        </w:rPr>
      </w:pPr>
      <w:r>
        <w:rPr>
          <w:rFonts w:ascii="Times New Roman" w:eastAsia="宋体" w:cs="Times New Roman" w:hint="eastAsia"/>
          <w:color w:val="000000"/>
          <w:kern w:val="0"/>
          <w:sz w:val="24"/>
          <w:szCs w:val="24"/>
        </w:rPr>
        <w:lastRenderedPageBreak/>
        <w:t>国</w:t>
      </w:r>
      <w:proofErr w:type="gramStart"/>
      <w:r>
        <w:rPr>
          <w:rFonts w:ascii="Times New Roman" w:eastAsia="宋体" w:cs="Times New Roman" w:hint="eastAsia"/>
          <w:color w:val="000000"/>
          <w:kern w:val="0"/>
          <w:sz w:val="24"/>
          <w:szCs w:val="24"/>
        </w:rPr>
        <w:t>海证券</w:t>
      </w:r>
      <w:proofErr w:type="gramEnd"/>
      <w:r>
        <w:rPr>
          <w:rFonts w:ascii="Times New Roman" w:eastAsia="宋体" w:cs="Times New Roman" w:hint="eastAsia"/>
          <w:color w:val="000000"/>
          <w:kern w:val="0"/>
          <w:sz w:val="24"/>
          <w:szCs w:val="24"/>
        </w:rPr>
        <w:t>股份有限公司（以下简称“国海证券”、“本财务顾问”）接受委托，担任广西广投能源集团有限公司（以下简称“广投能源”、“收购人”）免于发出要约收购广西桂东电力股份有限公司（以下简称“桂东电力”、“上市公司”）的财务顾问。</w:t>
      </w:r>
    </w:p>
    <w:p w14:paraId="7C61EBAA" w14:textId="5229A01A" w:rsidR="008B1F7D" w:rsidRDefault="005C1DA5">
      <w:pPr>
        <w:pStyle w:val="Default"/>
        <w:spacing w:beforeLines="50" w:before="156" w:afterLines="50" w:after="156" w:line="360" w:lineRule="auto"/>
        <w:ind w:firstLineChars="200" w:firstLine="480"/>
        <w:jc w:val="both"/>
        <w:rPr>
          <w:rFonts w:ascii="宋体" w:eastAsia="宋体" w:cs="宋体"/>
        </w:rPr>
      </w:pPr>
      <w:r>
        <w:rPr>
          <w:rFonts w:ascii="宋体" w:eastAsia="宋体" w:cs="宋体" w:hint="eastAsia"/>
        </w:rPr>
        <w:t>依照《上市公司收购管理办法》七十一条，“自收购人公告上市公司收购报告书至收购完成后</w:t>
      </w:r>
      <w:r>
        <w:rPr>
          <w:rFonts w:ascii="Times New Roman" w:eastAsia="宋体" w:cs="宋体" w:hint="eastAsia"/>
        </w:rPr>
        <w:t>12</w:t>
      </w:r>
      <w:r>
        <w:rPr>
          <w:rFonts w:ascii="宋体" w:eastAsia="宋体" w:cs="宋体" w:hint="eastAsia"/>
        </w:rPr>
        <w:t>个月内，财务顾问应当通过日常沟通、定期回访等方式，关注上市公司的经营情况，结合被收购公司定期报告和临时公告的披露事宜，对收购人及被收购公司履行持续督导职责”。</w:t>
      </w:r>
      <w:r w:rsidR="00F10C66" w:rsidRPr="009473BB">
        <w:rPr>
          <w:rFonts w:ascii="Times New Roman" w:eastAsia="宋体" w:cs="Times New Roman"/>
        </w:rPr>
        <w:t>2022</w:t>
      </w:r>
      <w:r w:rsidR="00F10C66" w:rsidRPr="009473BB">
        <w:rPr>
          <w:rFonts w:ascii="Times New Roman" w:eastAsia="宋体" w:cs="Times New Roman" w:hint="eastAsia"/>
        </w:rPr>
        <w:t>年</w:t>
      </w:r>
      <w:r w:rsidR="00F10C66" w:rsidRPr="009473BB">
        <w:rPr>
          <w:rFonts w:ascii="Times New Roman" w:eastAsia="宋体" w:cs="Times New Roman"/>
        </w:rPr>
        <w:t>1</w:t>
      </w:r>
      <w:r w:rsidR="00F10C66" w:rsidRPr="009473BB">
        <w:rPr>
          <w:rFonts w:ascii="Times New Roman" w:eastAsia="宋体" w:cs="Times New Roman" w:hint="eastAsia"/>
        </w:rPr>
        <w:t>月</w:t>
      </w:r>
      <w:r w:rsidR="00F10C66" w:rsidRPr="009473BB">
        <w:rPr>
          <w:rFonts w:ascii="Times New Roman" w:eastAsia="宋体" w:cs="Times New Roman"/>
        </w:rPr>
        <w:t>18</w:t>
      </w:r>
      <w:r w:rsidR="00F10C66" w:rsidRPr="009473BB">
        <w:rPr>
          <w:rFonts w:ascii="Times New Roman" w:eastAsia="宋体" w:cs="Times New Roman" w:hint="eastAsia"/>
        </w:rPr>
        <w:t>日</w:t>
      </w:r>
      <w:r w:rsidR="00F10C66">
        <w:rPr>
          <w:rFonts w:ascii="宋体" w:eastAsia="宋体" w:cs="宋体" w:hint="eastAsia"/>
        </w:rPr>
        <w:t>，收购人公告了</w:t>
      </w:r>
      <w:r w:rsidR="00F10C66" w:rsidRPr="00F10C66">
        <w:rPr>
          <w:rFonts w:ascii="宋体" w:eastAsia="宋体" w:cs="宋体" w:hint="eastAsia"/>
        </w:rPr>
        <w:t>《收购报告书》</w:t>
      </w:r>
      <w:r w:rsidR="00F10C66">
        <w:rPr>
          <w:rFonts w:ascii="宋体" w:eastAsia="宋体" w:cs="宋体" w:hint="eastAsia"/>
        </w:rPr>
        <w:t>；</w:t>
      </w:r>
      <w:r>
        <w:rPr>
          <w:rFonts w:ascii="Times New Roman" w:eastAsia="宋体" w:cs="Times New Roman"/>
        </w:rPr>
        <w:t>2022</w:t>
      </w:r>
      <w:r>
        <w:rPr>
          <w:rFonts w:ascii="Times New Roman" w:eastAsia="宋体" w:cs="Times New Roman"/>
        </w:rPr>
        <w:t>年</w:t>
      </w:r>
      <w:r>
        <w:rPr>
          <w:rFonts w:ascii="Times New Roman" w:eastAsia="宋体" w:cs="Times New Roman"/>
        </w:rPr>
        <w:t>4</w:t>
      </w:r>
      <w:r>
        <w:rPr>
          <w:rFonts w:ascii="Times New Roman" w:eastAsia="宋体" w:cs="Times New Roman"/>
        </w:rPr>
        <w:t>月</w:t>
      </w:r>
      <w:r>
        <w:rPr>
          <w:rFonts w:ascii="Times New Roman" w:eastAsia="宋体" w:cs="Times New Roman"/>
        </w:rPr>
        <w:t>18</w:t>
      </w:r>
      <w:r>
        <w:rPr>
          <w:rFonts w:ascii="Times New Roman" w:eastAsia="宋体" w:cs="Times New Roman"/>
        </w:rPr>
        <w:t>日，本次收</w:t>
      </w:r>
      <w:r>
        <w:rPr>
          <w:rFonts w:ascii="宋体" w:eastAsia="宋体" w:cs="宋体" w:hint="eastAsia"/>
        </w:rPr>
        <w:t>购涉及的相关</w:t>
      </w:r>
      <w:r>
        <w:rPr>
          <w:rFonts w:ascii="Times New Roman" w:eastAsia="宋体" w:cs="Times New Roman"/>
        </w:rPr>
        <w:t>标的股权办理</w:t>
      </w:r>
      <w:r w:rsidR="00F10C66">
        <w:rPr>
          <w:rFonts w:ascii="Times New Roman" w:eastAsia="宋体" w:cs="Times New Roman" w:hint="eastAsia"/>
        </w:rPr>
        <w:t>了</w:t>
      </w:r>
      <w:r>
        <w:rPr>
          <w:rFonts w:ascii="Times New Roman" w:eastAsia="宋体" w:cs="Times New Roman"/>
        </w:rPr>
        <w:t>工商变更登记</w:t>
      </w:r>
      <w:r w:rsidR="00F10C66">
        <w:rPr>
          <w:rFonts w:ascii="Times New Roman" w:eastAsia="宋体" w:cs="Times New Roman" w:hint="eastAsia"/>
        </w:rPr>
        <w:t>。因此</w:t>
      </w:r>
      <w:r>
        <w:rPr>
          <w:rFonts w:ascii="Times New Roman" w:eastAsia="宋体" w:cs="Times New Roman"/>
        </w:rPr>
        <w:t>，本财务顾问持续督导期为</w:t>
      </w:r>
      <w:r>
        <w:rPr>
          <w:rFonts w:ascii="Times New Roman" w:eastAsia="宋体" w:cs="Times New Roman"/>
        </w:rPr>
        <w:t>2022</w:t>
      </w:r>
      <w:r>
        <w:rPr>
          <w:rFonts w:ascii="Times New Roman" w:eastAsia="宋体" w:cs="Times New Roman"/>
        </w:rPr>
        <w:t>年</w:t>
      </w:r>
      <w:r>
        <w:rPr>
          <w:rFonts w:ascii="Times New Roman" w:eastAsia="宋体" w:cs="Times New Roman"/>
        </w:rPr>
        <w:t>1</w:t>
      </w:r>
      <w:r>
        <w:rPr>
          <w:rFonts w:ascii="Times New Roman" w:eastAsia="宋体" w:cs="Times New Roman"/>
        </w:rPr>
        <w:t>月</w:t>
      </w:r>
      <w:r>
        <w:rPr>
          <w:rFonts w:ascii="Times New Roman" w:eastAsia="宋体" w:cs="Times New Roman"/>
        </w:rPr>
        <w:t>18</w:t>
      </w:r>
      <w:r>
        <w:rPr>
          <w:rFonts w:ascii="Times New Roman" w:eastAsia="宋体" w:cs="Times New Roman"/>
        </w:rPr>
        <w:t>日至</w:t>
      </w:r>
      <w:r>
        <w:rPr>
          <w:rFonts w:ascii="Times New Roman" w:eastAsia="宋体" w:cs="Times New Roman"/>
        </w:rPr>
        <w:t>2023</w:t>
      </w:r>
      <w:r>
        <w:rPr>
          <w:rFonts w:ascii="Times New Roman" w:eastAsia="宋体" w:cs="Times New Roman" w:hint="eastAsia"/>
        </w:rPr>
        <w:t>年</w:t>
      </w:r>
      <w:r>
        <w:rPr>
          <w:rFonts w:ascii="Times New Roman" w:eastAsia="宋体" w:cs="Times New Roman" w:hint="eastAsia"/>
        </w:rPr>
        <w:t>4</w:t>
      </w:r>
      <w:r>
        <w:rPr>
          <w:rFonts w:ascii="Times New Roman" w:eastAsia="宋体" w:cs="Times New Roman" w:hint="eastAsia"/>
        </w:rPr>
        <w:t>月</w:t>
      </w:r>
      <w:r>
        <w:rPr>
          <w:rFonts w:ascii="Times New Roman" w:eastAsia="宋体" w:cs="Times New Roman" w:hint="eastAsia"/>
        </w:rPr>
        <w:t>1</w:t>
      </w:r>
      <w:r>
        <w:rPr>
          <w:rFonts w:ascii="Times New Roman" w:eastAsia="宋体" w:cs="Times New Roman"/>
        </w:rPr>
        <w:t>7</w:t>
      </w:r>
      <w:r>
        <w:rPr>
          <w:rFonts w:ascii="Times New Roman" w:eastAsia="宋体" w:cs="Times New Roman" w:hint="eastAsia"/>
        </w:rPr>
        <w:t>日</w:t>
      </w:r>
      <w:r>
        <w:rPr>
          <w:rFonts w:ascii="宋体" w:eastAsia="宋体" w:cs="宋体" w:hint="eastAsia"/>
        </w:rPr>
        <w:t>。</w:t>
      </w:r>
    </w:p>
    <w:p w14:paraId="539AE6AC" w14:textId="0D04C649" w:rsidR="008B1F7D" w:rsidRDefault="005C1DA5">
      <w:pPr>
        <w:pStyle w:val="Default"/>
        <w:spacing w:beforeLines="50" w:before="156" w:afterLines="50" w:after="156" w:line="360" w:lineRule="auto"/>
        <w:ind w:firstLineChars="200" w:firstLine="480"/>
        <w:rPr>
          <w:rFonts w:ascii="宋体" w:eastAsia="宋体" w:cs="宋体"/>
        </w:rPr>
      </w:pPr>
      <w:r>
        <w:rPr>
          <w:rFonts w:ascii="Times New Roman" w:eastAsia="宋体" w:cs="宋体"/>
        </w:rPr>
        <w:t>2022</w:t>
      </w:r>
      <w:r>
        <w:rPr>
          <w:rFonts w:ascii="宋体" w:eastAsia="宋体" w:cs="宋体"/>
        </w:rPr>
        <w:t>年</w:t>
      </w:r>
      <w:r>
        <w:rPr>
          <w:rFonts w:ascii="Times New Roman" w:eastAsia="宋体" w:cs="宋体"/>
        </w:rPr>
        <w:t>4</w:t>
      </w:r>
      <w:r>
        <w:rPr>
          <w:rFonts w:ascii="宋体" w:eastAsia="宋体" w:cs="宋体"/>
        </w:rPr>
        <w:t>月</w:t>
      </w:r>
      <w:r>
        <w:rPr>
          <w:rFonts w:ascii="Times New Roman" w:eastAsia="宋体" w:cs="宋体"/>
        </w:rPr>
        <w:t>28</w:t>
      </w:r>
      <w:r>
        <w:rPr>
          <w:rFonts w:ascii="宋体" w:eastAsia="宋体" w:cs="宋体"/>
        </w:rPr>
        <w:t>日，</w:t>
      </w:r>
      <w:r>
        <w:rPr>
          <w:rFonts w:ascii="宋体" w:eastAsia="宋体" w:cs="宋体" w:hint="eastAsia"/>
        </w:rPr>
        <w:t>桂东电力</w:t>
      </w:r>
      <w:r>
        <w:rPr>
          <w:rFonts w:ascii="宋体" w:eastAsia="宋体" w:cs="宋体"/>
        </w:rPr>
        <w:t>披露了</w:t>
      </w:r>
      <w:r>
        <w:rPr>
          <w:rFonts w:ascii="Times New Roman" w:eastAsia="宋体" w:cs="宋体"/>
        </w:rPr>
        <w:t>2022</w:t>
      </w:r>
      <w:r>
        <w:rPr>
          <w:rFonts w:ascii="宋体" w:eastAsia="宋体" w:cs="宋体"/>
        </w:rPr>
        <w:t>年</w:t>
      </w:r>
      <w:r>
        <w:rPr>
          <w:rFonts w:ascii="宋体" w:eastAsia="宋体" w:cs="宋体" w:hint="eastAsia"/>
        </w:rPr>
        <w:t>一季度报告</w:t>
      </w:r>
      <w:r>
        <w:rPr>
          <w:rFonts w:ascii="宋体" w:eastAsia="宋体" w:cs="宋体"/>
        </w:rPr>
        <w:t>。通过日常沟通，结合</w:t>
      </w:r>
      <w:r>
        <w:rPr>
          <w:rFonts w:ascii="宋体" w:eastAsia="宋体" w:cs="宋体" w:hint="eastAsia"/>
        </w:rPr>
        <w:t>桂东电力</w:t>
      </w:r>
      <w:r>
        <w:rPr>
          <w:rFonts w:ascii="Times New Roman" w:eastAsia="宋体" w:cs="宋体"/>
        </w:rPr>
        <w:t>2022</w:t>
      </w:r>
      <w:r>
        <w:rPr>
          <w:rFonts w:ascii="宋体" w:eastAsia="宋体" w:cs="宋体"/>
        </w:rPr>
        <w:t>年</w:t>
      </w:r>
      <w:r>
        <w:rPr>
          <w:rFonts w:ascii="宋体" w:eastAsia="宋体" w:cs="宋体" w:hint="eastAsia"/>
        </w:rPr>
        <w:t>一季度</w:t>
      </w:r>
      <w:r>
        <w:rPr>
          <w:rFonts w:ascii="宋体" w:eastAsia="宋体" w:cs="宋体"/>
        </w:rPr>
        <w:t>报告及临时公告</w:t>
      </w:r>
      <w:r>
        <w:rPr>
          <w:rFonts w:ascii="Times New Roman" w:eastAsia="宋体" w:cs="宋体"/>
        </w:rPr>
        <w:t>，本</w:t>
      </w:r>
      <w:r>
        <w:rPr>
          <w:rFonts w:ascii="宋体" w:eastAsia="宋体" w:cs="宋体"/>
        </w:rPr>
        <w:t>财务</w:t>
      </w:r>
      <w:r>
        <w:rPr>
          <w:rFonts w:ascii="宋体" w:eastAsia="宋体" w:cs="宋体"/>
          <w:color w:val="auto"/>
        </w:rPr>
        <w:t>顾问出具</w:t>
      </w:r>
      <w:r w:rsidR="0053439E">
        <w:rPr>
          <w:rFonts w:ascii="宋体" w:eastAsia="宋体" w:cs="宋体" w:hint="eastAsia"/>
          <w:color w:val="auto"/>
        </w:rPr>
        <w:t>2</w:t>
      </w:r>
      <w:r w:rsidR="0053439E">
        <w:rPr>
          <w:rFonts w:ascii="宋体" w:eastAsia="宋体" w:cs="宋体"/>
          <w:color w:val="auto"/>
        </w:rPr>
        <w:t>022</w:t>
      </w:r>
      <w:r w:rsidR="0053439E">
        <w:rPr>
          <w:rFonts w:ascii="宋体" w:eastAsia="宋体" w:cs="宋体" w:hint="eastAsia"/>
          <w:color w:val="auto"/>
        </w:rPr>
        <w:t>年第一季度的持续督导意见，</w:t>
      </w:r>
      <w:r>
        <w:rPr>
          <w:rFonts w:ascii="Times New Roman" w:eastAsia="宋体" w:cs="宋体" w:hint="eastAsia"/>
          <w:color w:val="auto"/>
        </w:rPr>
        <w:t>本</w:t>
      </w:r>
      <w:r w:rsidR="0053439E">
        <w:rPr>
          <w:rFonts w:ascii="Times New Roman" w:eastAsia="宋体" w:cs="宋体" w:hint="eastAsia"/>
          <w:color w:val="auto"/>
        </w:rPr>
        <w:t>次</w:t>
      </w:r>
      <w:r>
        <w:rPr>
          <w:rFonts w:ascii="Times New Roman" w:eastAsia="宋体" w:cs="宋体" w:hint="eastAsia"/>
          <w:color w:val="auto"/>
        </w:rPr>
        <w:t>持续督导期</w:t>
      </w:r>
      <w:r w:rsidR="00FF65EA">
        <w:rPr>
          <w:rFonts w:ascii="Times New Roman" w:eastAsia="宋体" w:cs="宋体" w:hint="eastAsia"/>
          <w:color w:val="auto"/>
        </w:rPr>
        <w:t>间为</w:t>
      </w:r>
      <w:r>
        <w:rPr>
          <w:rFonts w:ascii="Times New Roman" w:eastAsia="宋体" w:cs="Times New Roman"/>
          <w:color w:val="auto"/>
        </w:rPr>
        <w:t>2022</w:t>
      </w:r>
      <w:r>
        <w:rPr>
          <w:rFonts w:ascii="Times New Roman" w:eastAsia="宋体" w:cs="Times New Roman"/>
          <w:color w:val="auto"/>
        </w:rPr>
        <w:t>年</w:t>
      </w:r>
      <w:r>
        <w:rPr>
          <w:rFonts w:ascii="Times New Roman" w:eastAsia="宋体" w:cs="Times New Roman"/>
          <w:color w:val="auto"/>
        </w:rPr>
        <w:t>1</w:t>
      </w:r>
      <w:r>
        <w:rPr>
          <w:rFonts w:ascii="Times New Roman" w:eastAsia="宋体" w:cs="Times New Roman"/>
          <w:color w:val="auto"/>
        </w:rPr>
        <w:t>月</w:t>
      </w:r>
      <w:r>
        <w:rPr>
          <w:rFonts w:ascii="Times New Roman" w:eastAsia="宋体" w:cs="Times New Roman" w:hint="eastAsia"/>
          <w:color w:val="auto"/>
        </w:rPr>
        <w:t>1</w:t>
      </w:r>
      <w:r>
        <w:rPr>
          <w:rFonts w:ascii="Times New Roman" w:eastAsia="宋体" w:cs="Times New Roman"/>
          <w:color w:val="auto"/>
        </w:rPr>
        <w:t>8</w:t>
      </w:r>
      <w:r>
        <w:rPr>
          <w:rFonts w:ascii="Times New Roman" w:eastAsia="宋体" w:cs="Times New Roman"/>
          <w:color w:val="auto"/>
        </w:rPr>
        <w:t>日至</w:t>
      </w:r>
      <w:r>
        <w:rPr>
          <w:rFonts w:ascii="Times New Roman" w:eastAsia="宋体" w:cs="Times New Roman"/>
          <w:color w:val="auto"/>
        </w:rPr>
        <w:t>2022</w:t>
      </w:r>
      <w:r>
        <w:rPr>
          <w:rFonts w:ascii="Times New Roman" w:eastAsia="宋体" w:cs="Times New Roman"/>
          <w:color w:val="auto"/>
        </w:rPr>
        <w:t>年</w:t>
      </w:r>
      <w:r>
        <w:rPr>
          <w:rFonts w:ascii="Times New Roman" w:eastAsia="宋体" w:cs="Times New Roman"/>
          <w:color w:val="auto"/>
        </w:rPr>
        <w:t>3</w:t>
      </w:r>
      <w:r>
        <w:rPr>
          <w:rFonts w:ascii="Times New Roman" w:eastAsia="宋体" w:cs="Times New Roman"/>
          <w:color w:val="auto"/>
        </w:rPr>
        <w:t>月</w:t>
      </w:r>
      <w:r>
        <w:rPr>
          <w:rFonts w:ascii="Times New Roman" w:eastAsia="宋体" w:cs="Times New Roman"/>
          <w:color w:val="auto"/>
        </w:rPr>
        <w:t>31</w:t>
      </w:r>
      <w:r>
        <w:rPr>
          <w:rFonts w:ascii="Times New Roman" w:eastAsia="宋体" w:cs="Times New Roman"/>
          <w:color w:val="auto"/>
        </w:rPr>
        <w:t>日</w:t>
      </w:r>
      <w:r>
        <w:rPr>
          <w:rFonts w:ascii="宋体" w:eastAsia="宋体" w:cs="宋体" w:hint="eastAsia"/>
          <w:color w:val="auto"/>
        </w:rPr>
        <w:t>。</w:t>
      </w:r>
    </w:p>
    <w:p w14:paraId="78902F85" w14:textId="77777777" w:rsidR="008B1F7D" w:rsidRDefault="005C1DA5">
      <w:pPr>
        <w:pStyle w:val="Default"/>
        <w:spacing w:beforeLines="50" w:before="156" w:afterLines="50" w:after="156" w:line="360" w:lineRule="auto"/>
        <w:ind w:firstLineChars="200" w:firstLine="482"/>
        <w:jc w:val="both"/>
        <w:outlineLvl w:val="0"/>
        <w:rPr>
          <w:rFonts w:ascii="宋体" w:eastAsia="宋体" w:cs="宋体"/>
          <w:b/>
          <w:bCs/>
        </w:rPr>
      </w:pPr>
      <w:r>
        <w:rPr>
          <w:rFonts w:ascii="宋体" w:eastAsia="宋体" w:cs="宋体" w:hint="eastAsia"/>
          <w:b/>
          <w:bCs/>
        </w:rPr>
        <w:t>一、交易资产的交付或者过户情况</w:t>
      </w:r>
    </w:p>
    <w:p w14:paraId="4E7BF5C1" w14:textId="77777777" w:rsidR="008B1F7D" w:rsidRDefault="005C1DA5">
      <w:pPr>
        <w:pStyle w:val="Default"/>
        <w:spacing w:beforeLines="50" w:before="156" w:afterLines="50" w:after="156" w:line="360" w:lineRule="auto"/>
        <w:ind w:firstLineChars="200" w:firstLine="482"/>
        <w:jc w:val="both"/>
        <w:outlineLvl w:val="1"/>
        <w:rPr>
          <w:rFonts w:ascii="Times New Roman" w:eastAsia="宋体" w:cs="宋体"/>
          <w:b/>
          <w:bCs/>
        </w:rPr>
      </w:pPr>
      <w:r>
        <w:rPr>
          <w:rFonts w:ascii="Times New Roman" w:eastAsia="宋体" w:cs="宋体" w:hint="eastAsia"/>
          <w:b/>
          <w:bCs/>
        </w:rPr>
        <w:t>（一）本次收购情况概述</w:t>
      </w:r>
    </w:p>
    <w:p w14:paraId="048FD172" w14:textId="77777777" w:rsidR="008B1F7D" w:rsidRDefault="005C1DA5">
      <w:pPr>
        <w:pStyle w:val="Default"/>
        <w:spacing w:beforeLines="50" w:before="156" w:afterLines="50" w:after="156" w:line="360" w:lineRule="auto"/>
        <w:ind w:firstLineChars="200" w:firstLine="480"/>
        <w:jc w:val="both"/>
        <w:rPr>
          <w:rFonts w:ascii="Times New Roman" w:eastAsia="宋体" w:cs="宋体"/>
        </w:rPr>
      </w:pPr>
      <w:r>
        <w:rPr>
          <w:rFonts w:ascii="Times New Roman" w:eastAsia="宋体" w:cs="宋体" w:hint="eastAsia"/>
        </w:rPr>
        <w:t>根据广西投资集团有限公司（以下简称“广投集团”）战略部署，为调整和</w:t>
      </w:r>
      <w:proofErr w:type="gramStart"/>
      <w:r>
        <w:rPr>
          <w:rFonts w:ascii="Times New Roman" w:eastAsia="宋体" w:cs="宋体" w:hint="eastAsia"/>
        </w:rPr>
        <w:t>优化广投集团</w:t>
      </w:r>
      <w:proofErr w:type="gramEnd"/>
      <w:r>
        <w:rPr>
          <w:rFonts w:ascii="Times New Roman" w:eastAsia="宋体" w:cs="宋体" w:hint="eastAsia"/>
        </w:rPr>
        <w:t>业务板块管理及资源配置，</w:t>
      </w:r>
      <w:proofErr w:type="gramStart"/>
      <w:r>
        <w:rPr>
          <w:rFonts w:ascii="Times New Roman" w:eastAsia="宋体" w:cs="宋体" w:hint="eastAsia"/>
        </w:rPr>
        <w:t>广投能源</w:t>
      </w:r>
      <w:proofErr w:type="gramEnd"/>
      <w:r>
        <w:rPr>
          <w:rFonts w:ascii="Times New Roman" w:eastAsia="宋体" w:cs="宋体" w:hint="eastAsia"/>
        </w:rPr>
        <w:t>以非公开协议转让方式受</w:t>
      </w:r>
      <w:proofErr w:type="gramStart"/>
      <w:r>
        <w:rPr>
          <w:rFonts w:ascii="Times New Roman" w:eastAsia="宋体" w:cs="宋体" w:hint="eastAsia"/>
        </w:rPr>
        <w:t>让广投集团</w:t>
      </w:r>
      <w:proofErr w:type="gramEnd"/>
      <w:r>
        <w:rPr>
          <w:rFonts w:ascii="Times New Roman" w:eastAsia="宋体" w:cs="宋体" w:hint="eastAsia"/>
        </w:rPr>
        <w:t>持有的广西正润发展集团有限公司（以下简称“正润集团”、“标的资产”、“一致行动人”）</w:t>
      </w:r>
      <w:r>
        <w:rPr>
          <w:rFonts w:ascii="Times New Roman" w:eastAsia="宋体" w:cs="宋体" w:hint="eastAsia"/>
        </w:rPr>
        <w:t>85</w:t>
      </w:r>
      <w:r>
        <w:rPr>
          <w:rFonts w:ascii="Times New Roman" w:eastAsia="宋体" w:cs="宋体" w:hint="eastAsia"/>
        </w:rPr>
        <w:t>％股权。本次交易完成后，</w:t>
      </w:r>
      <w:proofErr w:type="gramStart"/>
      <w:r>
        <w:rPr>
          <w:rFonts w:ascii="Times New Roman" w:eastAsia="宋体" w:cs="宋体" w:hint="eastAsia"/>
        </w:rPr>
        <w:t>广投能源</w:t>
      </w:r>
      <w:proofErr w:type="gramEnd"/>
      <w:r>
        <w:rPr>
          <w:rFonts w:ascii="Times New Roman" w:eastAsia="宋体" w:cs="宋体" w:hint="eastAsia"/>
        </w:rPr>
        <w:t>直接持有桂东电力</w:t>
      </w:r>
      <w:r>
        <w:rPr>
          <w:rFonts w:ascii="Times New Roman" w:eastAsia="宋体" w:cs="宋体"/>
        </w:rPr>
        <w:t>17.08</w:t>
      </w:r>
      <w:r>
        <w:rPr>
          <w:rFonts w:ascii="Times New Roman" w:eastAsia="宋体" w:cs="宋体" w:hint="eastAsia"/>
        </w:rPr>
        <w:t>%</w:t>
      </w:r>
      <w:r>
        <w:rPr>
          <w:rFonts w:ascii="Times New Roman" w:eastAsia="宋体" w:cs="宋体" w:hint="eastAsia"/>
        </w:rPr>
        <w:t>的股权，并通过正润集团间接持有桂东电力</w:t>
      </w:r>
      <w:r>
        <w:rPr>
          <w:rFonts w:ascii="Times New Roman" w:eastAsia="宋体" w:cs="宋体" w:hint="eastAsia"/>
        </w:rPr>
        <w:t>33.91%</w:t>
      </w:r>
      <w:r>
        <w:rPr>
          <w:rFonts w:ascii="Times New Roman" w:eastAsia="宋体" w:cs="宋体" w:hint="eastAsia"/>
        </w:rPr>
        <w:t>的股权，进而构成对桂东电力的间接收购。</w:t>
      </w:r>
    </w:p>
    <w:p w14:paraId="1C62BE36" w14:textId="77777777" w:rsidR="008B1F7D" w:rsidRDefault="005C1DA5">
      <w:pPr>
        <w:spacing w:beforeLines="50" w:before="156" w:afterLines="50" w:after="156" w:line="360" w:lineRule="auto"/>
        <w:ind w:firstLineChars="200" w:firstLine="480"/>
        <w:rPr>
          <w:rFonts w:ascii="times new" w:eastAsia="宋体" w:hAnsi="times new" w:hint="eastAsia"/>
          <w:sz w:val="24"/>
          <w:szCs w:val="24"/>
        </w:rPr>
      </w:pPr>
      <w:r>
        <w:rPr>
          <w:rFonts w:ascii="times new" w:eastAsia="宋体" w:hAnsi="times new" w:hint="eastAsia"/>
          <w:sz w:val="24"/>
          <w:szCs w:val="24"/>
        </w:rPr>
        <w:t>本次收购是在同一实际控制人控制的不同主体之间进行，收购完成后桂东电力的实际控制人不发生变化，符合《上市公司收购管理办法》第六十二条规定之免于发出要约的情形。</w:t>
      </w:r>
    </w:p>
    <w:p w14:paraId="1327CF26" w14:textId="77777777" w:rsidR="008B1F7D" w:rsidRDefault="005C1DA5">
      <w:pPr>
        <w:pStyle w:val="Default"/>
        <w:spacing w:beforeLines="50" w:before="156" w:afterLines="50" w:after="156" w:line="360" w:lineRule="auto"/>
        <w:ind w:firstLineChars="200" w:firstLine="482"/>
        <w:jc w:val="both"/>
        <w:outlineLvl w:val="1"/>
        <w:rPr>
          <w:rFonts w:ascii="Times New Roman" w:eastAsia="宋体" w:cs="宋体"/>
          <w:b/>
          <w:bCs/>
        </w:rPr>
      </w:pPr>
      <w:r>
        <w:rPr>
          <w:rFonts w:ascii="Times New Roman" w:eastAsia="宋体" w:cs="宋体" w:hint="eastAsia"/>
          <w:b/>
          <w:bCs/>
        </w:rPr>
        <w:t>（二）本次收购实施过程中履行报告、公告义务情况</w:t>
      </w:r>
    </w:p>
    <w:p w14:paraId="79429AC0" w14:textId="0B379E10" w:rsidR="008B1F7D" w:rsidRDefault="005C1DA5">
      <w:pPr>
        <w:pStyle w:val="Default"/>
        <w:spacing w:beforeLines="50" w:before="156" w:afterLines="50" w:after="156" w:line="360" w:lineRule="auto"/>
        <w:ind w:firstLineChars="200" w:firstLine="480"/>
        <w:rPr>
          <w:rFonts w:ascii="宋体" w:eastAsia="宋体" w:cs="宋体"/>
        </w:rPr>
      </w:pPr>
      <w:r>
        <w:rPr>
          <w:rFonts w:ascii="Times New Roman" w:eastAsia="宋体" w:cs="宋体" w:hint="eastAsia"/>
        </w:rPr>
        <w:t>1</w:t>
      </w:r>
      <w:r>
        <w:rPr>
          <w:rFonts w:ascii="宋体" w:eastAsia="宋体" w:cs="宋体" w:hint="eastAsia"/>
        </w:rPr>
        <w:t>、</w:t>
      </w:r>
      <w:r>
        <w:rPr>
          <w:rFonts w:ascii="Times New Roman" w:eastAsia="宋体" w:cs="宋体" w:hint="eastAsia"/>
        </w:rPr>
        <w:t>202</w:t>
      </w:r>
      <w:r>
        <w:rPr>
          <w:rFonts w:ascii="Times New Roman" w:eastAsia="宋体" w:cs="宋体"/>
        </w:rPr>
        <w:t>2</w:t>
      </w:r>
      <w:r>
        <w:rPr>
          <w:rFonts w:ascii="宋体" w:eastAsia="宋体" w:cs="宋体" w:hint="eastAsia"/>
        </w:rPr>
        <w:t>年</w:t>
      </w:r>
      <w:r>
        <w:rPr>
          <w:rFonts w:ascii="Times New Roman" w:eastAsia="宋体" w:cs="宋体"/>
        </w:rPr>
        <w:t>1</w:t>
      </w:r>
      <w:r>
        <w:rPr>
          <w:rFonts w:ascii="宋体" w:eastAsia="宋体" w:cs="宋体" w:hint="eastAsia"/>
        </w:rPr>
        <w:t>月</w:t>
      </w:r>
      <w:r>
        <w:rPr>
          <w:rFonts w:ascii="Times New Roman" w:eastAsia="宋体" w:cs="宋体"/>
        </w:rPr>
        <w:t>5</w:t>
      </w:r>
      <w:r>
        <w:rPr>
          <w:rFonts w:ascii="宋体" w:eastAsia="宋体" w:cs="宋体" w:hint="eastAsia"/>
        </w:rPr>
        <w:t>日，桂东电力</w:t>
      </w:r>
      <w:r w:rsidR="007A57B3">
        <w:rPr>
          <w:rFonts w:ascii="宋体" w:eastAsia="宋体" w:cs="宋体" w:hint="eastAsia"/>
        </w:rPr>
        <w:t>在上海证券交易所（以下简称“上交所”）网</w:t>
      </w:r>
      <w:r w:rsidR="007A57B3">
        <w:rPr>
          <w:rFonts w:ascii="宋体" w:eastAsia="宋体" w:cs="宋体" w:hint="eastAsia"/>
        </w:rPr>
        <w:lastRenderedPageBreak/>
        <w:t>刊披露</w:t>
      </w:r>
      <w:r>
        <w:rPr>
          <w:rFonts w:ascii="宋体" w:eastAsia="宋体" w:cs="宋体" w:hint="eastAsia"/>
        </w:rPr>
        <w:t>了《关于收购报告书摘要及股东权益变动的提示性公告》及《收购报告书摘要》；</w:t>
      </w:r>
    </w:p>
    <w:p w14:paraId="0B37AF90" w14:textId="6FB7807C" w:rsidR="008B1F7D" w:rsidRDefault="005C1DA5">
      <w:pPr>
        <w:pStyle w:val="Default"/>
        <w:spacing w:beforeLines="50" w:before="156" w:afterLines="50" w:after="156" w:line="360" w:lineRule="auto"/>
        <w:ind w:firstLineChars="200" w:firstLine="480"/>
        <w:rPr>
          <w:rFonts w:ascii="宋体" w:eastAsia="宋体" w:cs="宋体"/>
        </w:rPr>
      </w:pPr>
      <w:r>
        <w:rPr>
          <w:rFonts w:ascii="Times New Roman" w:eastAsia="宋体" w:cs="宋体" w:hint="eastAsia"/>
        </w:rPr>
        <w:t>2</w:t>
      </w:r>
      <w:r>
        <w:rPr>
          <w:rFonts w:ascii="宋体" w:eastAsia="宋体" w:cs="宋体" w:hint="eastAsia"/>
        </w:rPr>
        <w:t>、</w:t>
      </w:r>
      <w:r>
        <w:rPr>
          <w:rFonts w:ascii="Times New Roman" w:eastAsia="宋体" w:cs="宋体" w:hint="eastAsia"/>
        </w:rPr>
        <w:t>202</w:t>
      </w:r>
      <w:r>
        <w:rPr>
          <w:rFonts w:ascii="Times New Roman" w:eastAsia="宋体" w:cs="宋体"/>
        </w:rPr>
        <w:t>2</w:t>
      </w:r>
      <w:r>
        <w:rPr>
          <w:rFonts w:ascii="宋体" w:eastAsia="宋体" w:cs="宋体" w:hint="eastAsia"/>
        </w:rPr>
        <w:t>年</w:t>
      </w:r>
      <w:r>
        <w:rPr>
          <w:rFonts w:ascii="Times New Roman" w:eastAsia="宋体" w:cs="宋体"/>
        </w:rPr>
        <w:t>1</w:t>
      </w:r>
      <w:r>
        <w:rPr>
          <w:rFonts w:ascii="宋体" w:eastAsia="宋体" w:cs="宋体" w:hint="eastAsia"/>
        </w:rPr>
        <w:t>月</w:t>
      </w:r>
      <w:r>
        <w:rPr>
          <w:rFonts w:ascii="Times New Roman" w:eastAsia="宋体" w:cs="宋体"/>
        </w:rPr>
        <w:t>18</w:t>
      </w:r>
      <w:r>
        <w:rPr>
          <w:rFonts w:ascii="宋体" w:eastAsia="宋体" w:cs="宋体" w:hint="eastAsia"/>
        </w:rPr>
        <w:t>日，桂东电力</w:t>
      </w:r>
      <w:r w:rsidR="007A57B3">
        <w:rPr>
          <w:rFonts w:ascii="宋体" w:eastAsia="宋体" w:cs="宋体" w:hint="eastAsia"/>
        </w:rPr>
        <w:t>在上交所网站披露</w:t>
      </w:r>
      <w:r>
        <w:rPr>
          <w:rFonts w:ascii="宋体" w:eastAsia="宋体" w:cs="宋体" w:hint="eastAsia"/>
        </w:rPr>
        <w:t>了《收购报告书》《国海证券股份有限公司关于广西桂东电力股份有限公司收购报告书之财务顾问报告》《北京市浩天信和（南宁）律师事务所关于&lt;广西桂东电力股份有限公司收购报告书&gt;之法律意见书》《北京市浩天信和（南宁）律师事务所关于广西广投能源集团有限公司免于发出要约事宜之法律意见书》。</w:t>
      </w:r>
    </w:p>
    <w:p w14:paraId="7256EBDF" w14:textId="51F346A7" w:rsidR="008B1F7D" w:rsidRDefault="005C1DA5">
      <w:pPr>
        <w:pStyle w:val="Default"/>
        <w:spacing w:beforeLines="50" w:before="156" w:afterLines="50" w:after="156" w:line="360" w:lineRule="auto"/>
        <w:ind w:firstLineChars="200" w:firstLine="480"/>
        <w:rPr>
          <w:rFonts w:ascii="Times New Roman" w:eastAsia="宋体" w:cs="Times New Roman"/>
        </w:rPr>
      </w:pPr>
      <w:r>
        <w:rPr>
          <w:rFonts w:ascii="Times New Roman" w:eastAsia="宋体" w:cs="Times New Roman"/>
        </w:rPr>
        <w:t>3</w:t>
      </w:r>
      <w:r>
        <w:rPr>
          <w:rFonts w:ascii="Times New Roman" w:eastAsia="宋体" w:cs="Times New Roman"/>
        </w:rPr>
        <w:t>、</w:t>
      </w:r>
      <w:r>
        <w:rPr>
          <w:rFonts w:ascii="Times New Roman" w:eastAsia="宋体" w:cs="Times New Roman" w:hint="eastAsia"/>
        </w:rPr>
        <w:t>2</w:t>
      </w:r>
      <w:r>
        <w:rPr>
          <w:rFonts w:ascii="Times New Roman" w:eastAsia="宋体" w:cs="Times New Roman"/>
        </w:rPr>
        <w:t>022</w:t>
      </w:r>
      <w:r>
        <w:rPr>
          <w:rFonts w:ascii="Times New Roman" w:eastAsia="宋体" w:cs="Times New Roman" w:hint="eastAsia"/>
        </w:rPr>
        <w:t>年</w:t>
      </w:r>
      <w:r>
        <w:rPr>
          <w:rFonts w:ascii="Times New Roman" w:eastAsia="宋体" w:cs="Times New Roman" w:hint="eastAsia"/>
        </w:rPr>
        <w:t>4</w:t>
      </w:r>
      <w:r>
        <w:rPr>
          <w:rFonts w:ascii="Times New Roman" w:eastAsia="宋体" w:cs="Times New Roman" w:hint="eastAsia"/>
        </w:rPr>
        <w:t>月</w:t>
      </w:r>
      <w:r>
        <w:rPr>
          <w:rFonts w:ascii="Times New Roman" w:eastAsia="宋体" w:cs="Times New Roman" w:hint="eastAsia"/>
        </w:rPr>
        <w:t>2</w:t>
      </w:r>
      <w:r>
        <w:rPr>
          <w:rFonts w:ascii="Times New Roman" w:eastAsia="宋体" w:cs="Times New Roman"/>
        </w:rPr>
        <w:t>1</w:t>
      </w:r>
      <w:r>
        <w:rPr>
          <w:rFonts w:ascii="Times New Roman" w:eastAsia="宋体" w:cs="Times New Roman" w:hint="eastAsia"/>
        </w:rPr>
        <w:t>日，桂东电力</w:t>
      </w:r>
      <w:r w:rsidR="007A57B3">
        <w:rPr>
          <w:rFonts w:ascii="Times New Roman" w:eastAsia="宋体" w:cs="Times New Roman" w:hint="eastAsia"/>
        </w:rPr>
        <w:t>在上交所网站</w:t>
      </w:r>
      <w:r>
        <w:rPr>
          <w:rFonts w:ascii="Times New Roman" w:eastAsia="宋体" w:cs="Times New Roman" w:hint="eastAsia"/>
        </w:rPr>
        <w:t>披露了《广西桂东电力股份有限公司关于控股股东工商变更登记完成的公告》。</w:t>
      </w:r>
    </w:p>
    <w:p w14:paraId="0BA3AB92" w14:textId="77777777" w:rsidR="008B1F7D" w:rsidRDefault="005C1DA5">
      <w:pPr>
        <w:pStyle w:val="Default"/>
        <w:spacing w:beforeLines="50" w:before="156" w:afterLines="50" w:after="156" w:line="360" w:lineRule="auto"/>
        <w:ind w:firstLineChars="200" w:firstLine="482"/>
        <w:jc w:val="both"/>
        <w:outlineLvl w:val="1"/>
        <w:rPr>
          <w:rFonts w:ascii="Times New Roman" w:eastAsia="宋体" w:cs="宋体"/>
          <w:b/>
          <w:bCs/>
        </w:rPr>
      </w:pPr>
      <w:r>
        <w:rPr>
          <w:rFonts w:ascii="Times New Roman" w:eastAsia="宋体" w:cs="宋体" w:hint="eastAsia"/>
          <w:b/>
          <w:bCs/>
        </w:rPr>
        <w:t>（三）本次收购的交付或过户情况</w:t>
      </w:r>
    </w:p>
    <w:p w14:paraId="20F9C6B3" w14:textId="77777777" w:rsidR="008B1F7D" w:rsidRDefault="005C1DA5">
      <w:pPr>
        <w:pStyle w:val="Default"/>
        <w:spacing w:beforeLines="50" w:before="156" w:afterLines="50" w:after="156" w:line="360" w:lineRule="auto"/>
        <w:ind w:firstLineChars="200" w:firstLine="480"/>
        <w:jc w:val="both"/>
        <w:rPr>
          <w:rFonts w:ascii="宋体" w:eastAsia="宋体" w:cs="宋体"/>
        </w:rPr>
      </w:pPr>
      <w:r>
        <w:rPr>
          <w:rFonts w:ascii="Times New Roman" w:eastAsia="宋体" w:cs="Times New Roman"/>
        </w:rPr>
        <w:t>2022</w:t>
      </w:r>
      <w:r>
        <w:rPr>
          <w:rFonts w:ascii="Times New Roman" w:eastAsia="宋体" w:cs="Times New Roman"/>
        </w:rPr>
        <w:t>年</w:t>
      </w:r>
      <w:r>
        <w:rPr>
          <w:rFonts w:ascii="Times New Roman" w:eastAsia="宋体" w:cs="Times New Roman"/>
        </w:rPr>
        <w:t>4</w:t>
      </w:r>
      <w:r>
        <w:rPr>
          <w:rFonts w:ascii="Times New Roman" w:eastAsia="宋体" w:cs="Times New Roman"/>
        </w:rPr>
        <w:t>月</w:t>
      </w:r>
      <w:r>
        <w:rPr>
          <w:rFonts w:ascii="Times New Roman" w:eastAsia="宋体" w:cs="Times New Roman"/>
        </w:rPr>
        <w:t>18</w:t>
      </w:r>
      <w:r>
        <w:rPr>
          <w:rFonts w:ascii="Times New Roman" w:eastAsia="宋体" w:cs="Times New Roman"/>
        </w:rPr>
        <w:t>日，本次收购涉及的标的股权</w:t>
      </w:r>
      <w:r>
        <w:rPr>
          <w:rFonts w:ascii="Times New Roman" w:eastAsia="宋体" w:cs="Times New Roman" w:hint="eastAsia"/>
        </w:rPr>
        <w:t>即正润集团</w:t>
      </w:r>
      <w:r>
        <w:rPr>
          <w:rFonts w:ascii="Times New Roman" w:eastAsia="宋体" w:cs="Times New Roman" w:hint="eastAsia"/>
        </w:rPr>
        <w:t>8</w:t>
      </w:r>
      <w:r>
        <w:rPr>
          <w:rFonts w:ascii="Times New Roman" w:eastAsia="宋体" w:cs="Times New Roman"/>
        </w:rPr>
        <w:t>5%</w:t>
      </w:r>
      <w:r>
        <w:rPr>
          <w:rFonts w:ascii="Times New Roman" w:eastAsia="宋体" w:cs="Times New Roman" w:hint="eastAsia"/>
        </w:rPr>
        <w:t>股权</w:t>
      </w:r>
      <w:r>
        <w:rPr>
          <w:rFonts w:ascii="Times New Roman" w:eastAsia="宋体" w:cs="Times New Roman"/>
        </w:rPr>
        <w:t>已办理工商变更登记，</w:t>
      </w:r>
      <w:r>
        <w:rPr>
          <w:rFonts w:ascii="Times New Roman" w:eastAsia="宋体" w:cs="Times New Roman" w:hint="eastAsia"/>
        </w:rPr>
        <w:t>变更完成后，</w:t>
      </w:r>
      <w:proofErr w:type="gramStart"/>
      <w:r>
        <w:rPr>
          <w:rFonts w:ascii="Times New Roman" w:eastAsia="宋体" w:cs="Times New Roman" w:hint="eastAsia"/>
        </w:rPr>
        <w:t>广投能源</w:t>
      </w:r>
      <w:proofErr w:type="gramEnd"/>
      <w:r>
        <w:rPr>
          <w:rFonts w:ascii="Times New Roman" w:eastAsia="宋体" w:cs="Times New Roman" w:hint="eastAsia"/>
        </w:rPr>
        <w:t>持有正润集团</w:t>
      </w:r>
      <w:r>
        <w:rPr>
          <w:rFonts w:ascii="Times New Roman" w:eastAsia="宋体" w:cs="Times New Roman" w:hint="eastAsia"/>
        </w:rPr>
        <w:t>1</w:t>
      </w:r>
      <w:r>
        <w:rPr>
          <w:rFonts w:ascii="Times New Roman" w:eastAsia="宋体" w:cs="Times New Roman"/>
        </w:rPr>
        <w:t>00%</w:t>
      </w:r>
      <w:r>
        <w:rPr>
          <w:rFonts w:ascii="Times New Roman" w:eastAsia="宋体" w:cs="Times New Roman" w:hint="eastAsia"/>
        </w:rPr>
        <w:t>股权，</w:t>
      </w:r>
      <w:r>
        <w:rPr>
          <w:rFonts w:ascii="宋体" w:eastAsia="宋体" w:cs="宋体" w:hint="eastAsia"/>
        </w:rPr>
        <w:t>本次收购过户完毕。</w:t>
      </w:r>
    </w:p>
    <w:p w14:paraId="29487F85" w14:textId="77777777" w:rsidR="008B1F7D" w:rsidRDefault="005C1DA5">
      <w:pPr>
        <w:pStyle w:val="Default"/>
        <w:spacing w:beforeLines="50" w:before="156" w:afterLines="50" w:after="156" w:line="360" w:lineRule="auto"/>
        <w:ind w:firstLineChars="200" w:firstLine="482"/>
        <w:jc w:val="both"/>
        <w:outlineLvl w:val="1"/>
        <w:rPr>
          <w:rFonts w:ascii="Times New Roman" w:eastAsia="宋体" w:cs="宋体"/>
          <w:b/>
          <w:bCs/>
        </w:rPr>
      </w:pPr>
      <w:r>
        <w:rPr>
          <w:rFonts w:ascii="Times New Roman" w:eastAsia="宋体" w:cs="宋体" w:hint="eastAsia"/>
          <w:b/>
          <w:bCs/>
        </w:rPr>
        <w:t>（四）财务顾问核查意见</w:t>
      </w:r>
    </w:p>
    <w:p w14:paraId="5D50D786" w14:textId="77777777" w:rsidR="008B1F7D" w:rsidRDefault="005C1DA5">
      <w:pPr>
        <w:pStyle w:val="Default"/>
        <w:spacing w:beforeLines="50" w:before="156" w:afterLines="50" w:after="156" w:line="360" w:lineRule="auto"/>
        <w:ind w:firstLineChars="200" w:firstLine="480"/>
        <w:jc w:val="both"/>
        <w:rPr>
          <w:rFonts w:ascii="宋体" w:eastAsia="宋体" w:cs="宋体"/>
        </w:rPr>
      </w:pPr>
      <w:r>
        <w:rPr>
          <w:rFonts w:ascii="宋体" w:eastAsia="宋体" w:cs="宋体" w:hint="eastAsia"/>
        </w:rPr>
        <w:t>经核查，截至</w:t>
      </w:r>
      <w:proofErr w:type="gramStart"/>
      <w:r>
        <w:rPr>
          <w:rFonts w:ascii="宋体" w:eastAsia="宋体" w:cs="宋体" w:hint="eastAsia"/>
        </w:rPr>
        <w:t>本持续</w:t>
      </w:r>
      <w:proofErr w:type="gramEnd"/>
      <w:r>
        <w:rPr>
          <w:rFonts w:ascii="宋体" w:eastAsia="宋体" w:cs="宋体" w:hint="eastAsia"/>
        </w:rPr>
        <w:t>督导意见出具日，收购人已经依法办理完成本次收购所涉及的股权过户手续；收购人、上市公司已根据相关规定履行了与本次收购有关的信息披露义务。</w:t>
      </w:r>
    </w:p>
    <w:p w14:paraId="01691117" w14:textId="77777777" w:rsidR="008B1F7D" w:rsidRDefault="005C1DA5">
      <w:pPr>
        <w:pStyle w:val="Default"/>
        <w:spacing w:beforeLines="50" w:before="156" w:afterLines="50" w:after="156" w:line="360" w:lineRule="auto"/>
        <w:ind w:firstLineChars="200" w:firstLine="482"/>
        <w:jc w:val="both"/>
        <w:outlineLvl w:val="0"/>
        <w:rPr>
          <w:rFonts w:ascii="宋体" w:eastAsia="宋体" w:cs="宋体"/>
          <w:b/>
          <w:bCs/>
        </w:rPr>
      </w:pPr>
      <w:r>
        <w:rPr>
          <w:rFonts w:ascii="宋体" w:eastAsia="宋体" w:cs="宋体" w:hint="eastAsia"/>
          <w:b/>
          <w:bCs/>
        </w:rPr>
        <w:t>二、收购人及其一致行动人、被收购公司依法治理和规范运作情况</w:t>
      </w:r>
    </w:p>
    <w:p w14:paraId="36C157ED" w14:textId="6DC9097C" w:rsidR="008B1F7D" w:rsidRDefault="005C1DA5">
      <w:pPr>
        <w:pStyle w:val="Default"/>
        <w:spacing w:beforeLines="50" w:before="156" w:afterLines="50" w:after="156" w:line="360" w:lineRule="auto"/>
        <w:ind w:firstLineChars="200" w:firstLine="480"/>
        <w:jc w:val="both"/>
        <w:rPr>
          <w:rFonts w:ascii="宋体" w:eastAsia="宋体" w:cs="宋体"/>
        </w:rPr>
      </w:pPr>
      <w:proofErr w:type="gramStart"/>
      <w:r>
        <w:rPr>
          <w:rFonts w:ascii="宋体" w:eastAsia="宋体" w:cs="宋体" w:hint="eastAsia"/>
        </w:rPr>
        <w:t>本持续</w:t>
      </w:r>
      <w:proofErr w:type="gramEnd"/>
      <w:r>
        <w:rPr>
          <w:rFonts w:ascii="宋体" w:eastAsia="宋体" w:cs="宋体" w:hint="eastAsia"/>
        </w:rPr>
        <w:t>督导期内，桂东电力按照中国证监会有关上市公司治理的规定和</w:t>
      </w:r>
      <w:r w:rsidR="007A57B3">
        <w:rPr>
          <w:rFonts w:ascii="宋体" w:eastAsia="宋体" w:cs="宋体" w:hint="eastAsia"/>
        </w:rPr>
        <w:t>上交所</w:t>
      </w:r>
      <w:r>
        <w:rPr>
          <w:rFonts w:ascii="宋体" w:eastAsia="宋体" w:cs="宋体" w:hint="eastAsia"/>
        </w:rPr>
        <w:t>上市规则的要求规范运作。经查阅公开资料及上市公司相关文件，</w:t>
      </w:r>
      <w:proofErr w:type="gramStart"/>
      <w:r>
        <w:rPr>
          <w:rFonts w:ascii="宋体" w:eastAsia="宋体" w:cs="宋体" w:hint="eastAsia"/>
        </w:rPr>
        <w:t>本持续</w:t>
      </w:r>
      <w:proofErr w:type="gramEnd"/>
      <w:r>
        <w:rPr>
          <w:rFonts w:ascii="宋体" w:eastAsia="宋体" w:cs="宋体" w:hint="eastAsia"/>
        </w:rPr>
        <w:t>督导期内，上市公司股东大会、董事会、监事会独立运作，未发现其存在违反公司治理和内控制度相关规定的情形。收购人及其一致行动人依法行使对桂东电力的股东权益，不存在要求桂东电力违规提供担保或者借款等损害上市公司利益的情形。</w:t>
      </w:r>
    </w:p>
    <w:p w14:paraId="3256FE42" w14:textId="77777777" w:rsidR="008B1F7D" w:rsidRDefault="005C1DA5">
      <w:pPr>
        <w:pStyle w:val="Default"/>
        <w:spacing w:beforeLines="50" w:before="156" w:afterLines="50" w:after="156" w:line="360" w:lineRule="auto"/>
        <w:ind w:firstLineChars="200" w:firstLine="482"/>
        <w:jc w:val="both"/>
        <w:outlineLvl w:val="0"/>
        <w:rPr>
          <w:rFonts w:ascii="宋体" w:eastAsia="宋体" w:cs="宋体"/>
          <w:b/>
          <w:bCs/>
        </w:rPr>
      </w:pPr>
      <w:r>
        <w:rPr>
          <w:rFonts w:ascii="宋体" w:eastAsia="宋体" w:cs="宋体" w:hint="eastAsia"/>
          <w:b/>
          <w:bCs/>
        </w:rPr>
        <w:t>三、收购人履行公开承诺的情况</w:t>
      </w:r>
    </w:p>
    <w:p w14:paraId="4E650324" w14:textId="77777777" w:rsidR="008B1F7D" w:rsidRDefault="005C1DA5">
      <w:pPr>
        <w:pStyle w:val="Default"/>
        <w:spacing w:beforeLines="50" w:before="156" w:afterLines="50" w:after="156" w:line="360" w:lineRule="auto"/>
        <w:ind w:firstLineChars="200" w:firstLine="480"/>
        <w:jc w:val="both"/>
        <w:rPr>
          <w:rFonts w:ascii="宋体" w:eastAsia="宋体" w:cs="宋体"/>
        </w:rPr>
      </w:pPr>
      <w:r>
        <w:rPr>
          <w:rFonts w:ascii="宋体" w:eastAsia="宋体" w:cs="宋体" w:hint="eastAsia"/>
        </w:rPr>
        <w:t>在《收购报告书》中，收购人在避免同业竞争、规范与减少关联交易、维护桂东电力独立性</w:t>
      </w:r>
      <w:proofErr w:type="gramStart"/>
      <w:r>
        <w:rPr>
          <w:rFonts w:ascii="宋体" w:eastAsia="宋体" w:cs="宋体" w:hint="eastAsia"/>
        </w:rPr>
        <w:t>作出</w:t>
      </w:r>
      <w:proofErr w:type="gramEnd"/>
      <w:r>
        <w:rPr>
          <w:rFonts w:ascii="宋体" w:eastAsia="宋体" w:cs="宋体" w:hint="eastAsia"/>
        </w:rPr>
        <w:t>了相关承诺。经核查，</w:t>
      </w:r>
      <w:proofErr w:type="gramStart"/>
      <w:r>
        <w:rPr>
          <w:rFonts w:ascii="宋体" w:eastAsia="宋体" w:cs="宋体" w:hint="eastAsia"/>
        </w:rPr>
        <w:t>本持续</w:t>
      </w:r>
      <w:proofErr w:type="gramEnd"/>
      <w:r>
        <w:rPr>
          <w:rFonts w:ascii="宋体" w:eastAsia="宋体" w:cs="宋体" w:hint="eastAsia"/>
        </w:rPr>
        <w:t>督导期内，收购人及其一致行动人严格履行相关承诺，不存在违反其承诺的情形。</w:t>
      </w:r>
    </w:p>
    <w:p w14:paraId="14365BC4" w14:textId="77777777" w:rsidR="008B1F7D" w:rsidRDefault="005C1DA5">
      <w:pPr>
        <w:pStyle w:val="Default"/>
        <w:spacing w:beforeLines="50" w:before="156" w:afterLines="50" w:after="156" w:line="360" w:lineRule="auto"/>
        <w:ind w:firstLineChars="200" w:firstLine="482"/>
        <w:jc w:val="both"/>
        <w:outlineLvl w:val="0"/>
        <w:rPr>
          <w:rFonts w:ascii="宋体" w:eastAsia="宋体" w:cs="宋体"/>
          <w:b/>
          <w:bCs/>
        </w:rPr>
      </w:pPr>
      <w:r>
        <w:rPr>
          <w:rFonts w:ascii="宋体" w:eastAsia="宋体" w:cs="宋体" w:hint="eastAsia"/>
          <w:b/>
          <w:bCs/>
        </w:rPr>
        <w:lastRenderedPageBreak/>
        <w:t>四、后续计划落实情况</w:t>
      </w:r>
    </w:p>
    <w:p w14:paraId="046B1FF6" w14:textId="77777777" w:rsidR="008B1F7D" w:rsidRDefault="005C1DA5">
      <w:pPr>
        <w:pStyle w:val="Default"/>
        <w:spacing w:beforeLines="50" w:before="156" w:afterLines="50" w:after="156" w:line="360" w:lineRule="auto"/>
        <w:ind w:firstLineChars="200" w:firstLine="482"/>
        <w:jc w:val="both"/>
        <w:outlineLvl w:val="1"/>
        <w:rPr>
          <w:rFonts w:ascii="Times New Roman" w:eastAsia="宋体" w:cs="宋体"/>
          <w:b/>
          <w:bCs/>
        </w:rPr>
      </w:pPr>
      <w:r>
        <w:rPr>
          <w:rFonts w:ascii="Times New Roman" w:eastAsia="宋体" w:cs="宋体" w:hint="eastAsia"/>
          <w:b/>
          <w:bCs/>
        </w:rPr>
        <w:t>（一）对上市公司主营业务改变或调整的计划</w:t>
      </w:r>
    </w:p>
    <w:p w14:paraId="1CB5C4DC" w14:textId="77777777" w:rsidR="008B1F7D" w:rsidRDefault="005C1DA5">
      <w:pPr>
        <w:pStyle w:val="Default"/>
        <w:spacing w:beforeLines="50" w:before="156" w:afterLines="50" w:after="156" w:line="360" w:lineRule="auto"/>
        <w:ind w:firstLineChars="200" w:firstLine="480"/>
        <w:jc w:val="both"/>
        <w:rPr>
          <w:rFonts w:ascii="宋体" w:eastAsia="宋体" w:cs="宋体"/>
        </w:rPr>
      </w:pPr>
      <w:r>
        <w:rPr>
          <w:rFonts w:ascii="宋体" w:eastAsia="宋体" w:cs="宋体" w:hint="eastAsia"/>
        </w:rPr>
        <w:t>经核查，</w:t>
      </w:r>
      <w:proofErr w:type="gramStart"/>
      <w:r>
        <w:rPr>
          <w:rFonts w:ascii="宋体" w:eastAsia="宋体" w:cs="宋体" w:hint="eastAsia"/>
        </w:rPr>
        <w:t>本持续</w:t>
      </w:r>
      <w:proofErr w:type="gramEnd"/>
      <w:r>
        <w:rPr>
          <w:rFonts w:ascii="宋体" w:eastAsia="宋体" w:cs="宋体" w:hint="eastAsia"/>
        </w:rPr>
        <w:t>督导期内，收购人及其一致行动人不存在向上市公司提议对其主营业务进行改变或重大调整。</w:t>
      </w:r>
    </w:p>
    <w:p w14:paraId="044DF102" w14:textId="77777777" w:rsidR="008B1F7D" w:rsidRDefault="005C1DA5">
      <w:pPr>
        <w:pStyle w:val="Default"/>
        <w:spacing w:beforeLines="50" w:before="156" w:afterLines="50" w:after="156" w:line="360" w:lineRule="auto"/>
        <w:ind w:firstLineChars="200" w:firstLine="482"/>
        <w:jc w:val="both"/>
        <w:outlineLvl w:val="1"/>
        <w:rPr>
          <w:rFonts w:ascii="Times New Roman" w:eastAsia="宋体" w:cs="宋体"/>
          <w:b/>
          <w:bCs/>
        </w:rPr>
      </w:pPr>
      <w:r>
        <w:rPr>
          <w:rFonts w:ascii="Times New Roman" w:eastAsia="宋体" w:cs="宋体" w:hint="eastAsia"/>
          <w:b/>
          <w:bCs/>
        </w:rPr>
        <w:t>（二）对上市公司资产和业务处置计划及与他人合资合作计划</w:t>
      </w:r>
    </w:p>
    <w:p w14:paraId="3D239F56" w14:textId="547DBE60" w:rsidR="008B1F7D" w:rsidRDefault="005C1DA5">
      <w:pPr>
        <w:pStyle w:val="Default"/>
        <w:spacing w:beforeLines="50" w:before="156" w:afterLines="50" w:after="156" w:line="360" w:lineRule="auto"/>
        <w:ind w:firstLineChars="200" w:firstLine="480"/>
        <w:jc w:val="both"/>
        <w:rPr>
          <w:rFonts w:ascii="宋体" w:eastAsia="宋体" w:cs="宋体"/>
        </w:rPr>
      </w:pPr>
      <w:bookmarkStart w:id="4" w:name="_Hlk99445621"/>
      <w:r>
        <w:rPr>
          <w:rFonts w:ascii="宋体" w:eastAsia="宋体" w:cs="宋体" w:hint="eastAsia"/>
        </w:rPr>
        <w:t>上市公司为减轻资金和成本压力，根据公司的经营及资金需求情况，将在股东大会审议通过之日起一年内通过大宗交易或二级市场竞价交易等方式择机出售持有的全部环球新材国际（香港联交所主板上市，股票代码</w:t>
      </w:r>
      <w:r>
        <w:rPr>
          <w:rFonts w:ascii="Times New Roman" w:eastAsia="宋体" w:cs="宋体" w:hint="eastAsia"/>
        </w:rPr>
        <w:t>06616</w:t>
      </w:r>
      <w:r>
        <w:rPr>
          <w:rFonts w:ascii="宋体" w:eastAsia="宋体" w:cs="宋体" w:hint="eastAsia"/>
        </w:rPr>
        <w:t>.HK）股票。上市公司持有环球新材国际股票持股成本为</w:t>
      </w:r>
      <w:r>
        <w:rPr>
          <w:rFonts w:ascii="Times New Roman" w:eastAsia="宋体" w:cs="宋体" w:hint="eastAsia"/>
        </w:rPr>
        <w:t>14</w:t>
      </w:r>
      <w:r>
        <w:rPr>
          <w:rFonts w:ascii="宋体" w:eastAsia="宋体" w:cs="宋体" w:hint="eastAsia"/>
        </w:rPr>
        <w:t>,</w:t>
      </w:r>
      <w:r>
        <w:rPr>
          <w:rFonts w:ascii="Times New Roman" w:eastAsia="宋体" w:cs="宋体" w:hint="eastAsia"/>
        </w:rPr>
        <w:t>424</w:t>
      </w:r>
      <w:r>
        <w:rPr>
          <w:rFonts w:ascii="宋体" w:eastAsia="宋体" w:cs="宋体" w:hint="eastAsia"/>
        </w:rPr>
        <w:t>.</w:t>
      </w:r>
      <w:r>
        <w:rPr>
          <w:rFonts w:ascii="Times New Roman" w:eastAsia="宋体" w:cs="宋体" w:hint="eastAsia"/>
        </w:rPr>
        <w:t>00</w:t>
      </w:r>
      <w:r>
        <w:rPr>
          <w:rFonts w:ascii="宋体" w:eastAsia="宋体" w:cs="宋体" w:hint="eastAsia"/>
        </w:rPr>
        <w:t>万元</w:t>
      </w:r>
      <w:r>
        <w:rPr>
          <w:rFonts w:ascii="宋体" w:eastAsia="宋体" w:hint="eastAsia"/>
        </w:rPr>
        <w:t>人民币</w:t>
      </w:r>
      <w:r>
        <w:rPr>
          <w:rFonts w:ascii="宋体" w:eastAsia="宋体" w:cs="宋体" w:hint="eastAsia"/>
        </w:rPr>
        <w:t>，持股数量为</w:t>
      </w:r>
      <w:r>
        <w:rPr>
          <w:rFonts w:ascii="Times New Roman" w:eastAsia="宋体" w:cs="宋体" w:hint="eastAsia"/>
        </w:rPr>
        <w:t>108</w:t>
      </w:r>
      <w:r>
        <w:rPr>
          <w:rFonts w:ascii="宋体" w:eastAsia="宋体" w:cs="宋体" w:hint="eastAsia"/>
        </w:rPr>
        <w:t>,</w:t>
      </w:r>
      <w:r>
        <w:rPr>
          <w:rFonts w:ascii="Times New Roman" w:eastAsia="宋体" w:cs="宋体" w:hint="eastAsia"/>
        </w:rPr>
        <w:t>000</w:t>
      </w:r>
      <w:r>
        <w:rPr>
          <w:rFonts w:ascii="宋体" w:eastAsia="宋体" w:cs="宋体" w:hint="eastAsia"/>
        </w:rPr>
        <w:t>,</w:t>
      </w:r>
      <w:r>
        <w:rPr>
          <w:rFonts w:ascii="Times New Roman" w:eastAsia="宋体" w:cs="宋体" w:hint="eastAsia"/>
        </w:rPr>
        <w:t>000</w:t>
      </w:r>
      <w:r>
        <w:rPr>
          <w:rFonts w:ascii="宋体" w:eastAsia="宋体" w:cs="宋体" w:hint="eastAsia"/>
        </w:rPr>
        <w:t>股，占环球新材国际总股本的</w:t>
      </w:r>
      <w:r>
        <w:rPr>
          <w:rFonts w:ascii="Times New Roman" w:eastAsia="宋体" w:cs="宋体" w:hint="eastAsia"/>
        </w:rPr>
        <w:t>9</w:t>
      </w:r>
      <w:r>
        <w:rPr>
          <w:rFonts w:ascii="宋体" w:eastAsia="宋体" w:cs="宋体" w:hint="eastAsia"/>
        </w:rPr>
        <w:t>.</w:t>
      </w:r>
      <w:r>
        <w:rPr>
          <w:rFonts w:ascii="Times New Roman" w:eastAsia="宋体" w:cs="宋体" w:hint="eastAsia"/>
        </w:rPr>
        <w:t>06</w:t>
      </w:r>
      <w:r>
        <w:rPr>
          <w:rFonts w:ascii="宋体" w:eastAsia="宋体" w:cs="宋体" w:hint="eastAsia"/>
        </w:rPr>
        <w:t>%。</w:t>
      </w:r>
    </w:p>
    <w:p w14:paraId="1AA47645" w14:textId="77777777" w:rsidR="008B1F7D" w:rsidRDefault="005C1DA5">
      <w:pPr>
        <w:pStyle w:val="Default"/>
        <w:spacing w:beforeLines="50" w:before="156" w:afterLines="50" w:after="156" w:line="360" w:lineRule="auto"/>
        <w:ind w:firstLineChars="200" w:firstLine="480"/>
        <w:jc w:val="both"/>
        <w:rPr>
          <w:rFonts w:ascii="宋体" w:eastAsia="宋体" w:cs="宋体"/>
        </w:rPr>
      </w:pPr>
      <w:r>
        <w:rPr>
          <w:rFonts w:ascii="宋体" w:eastAsia="宋体" w:cs="宋体" w:hint="eastAsia"/>
        </w:rPr>
        <w:t>上述事项已经上市公司于</w:t>
      </w:r>
      <w:r>
        <w:rPr>
          <w:rFonts w:ascii="Times New Roman" w:eastAsia="宋体" w:cs="宋体" w:hint="eastAsia"/>
        </w:rPr>
        <w:t>2022</w:t>
      </w:r>
      <w:r>
        <w:rPr>
          <w:rFonts w:ascii="宋体" w:eastAsia="宋体" w:cs="宋体" w:hint="eastAsia"/>
        </w:rPr>
        <w:t>年</w:t>
      </w:r>
      <w:r>
        <w:rPr>
          <w:rFonts w:ascii="Times New Roman" w:eastAsia="宋体" w:cs="宋体" w:hint="eastAsia"/>
        </w:rPr>
        <w:t>3</w:t>
      </w:r>
      <w:r>
        <w:rPr>
          <w:rFonts w:ascii="宋体" w:eastAsia="宋体" w:cs="宋体" w:hint="eastAsia"/>
        </w:rPr>
        <w:t>月</w:t>
      </w:r>
      <w:r>
        <w:rPr>
          <w:rFonts w:ascii="Times New Roman" w:eastAsia="宋体" w:cs="宋体" w:hint="eastAsia"/>
        </w:rPr>
        <w:t>29</w:t>
      </w:r>
      <w:r>
        <w:rPr>
          <w:rFonts w:ascii="宋体" w:eastAsia="宋体" w:cs="宋体" w:hint="eastAsia"/>
        </w:rPr>
        <w:t>日召开的第八届董事会第十四次会议审议通过，以及</w:t>
      </w:r>
      <w:r>
        <w:rPr>
          <w:rFonts w:ascii="Times New Roman" w:eastAsia="宋体" w:cs="宋体" w:hint="eastAsia"/>
        </w:rPr>
        <w:t>20</w:t>
      </w:r>
      <w:r>
        <w:rPr>
          <w:rFonts w:ascii="Times New Roman" w:eastAsia="宋体" w:cs="宋体"/>
        </w:rPr>
        <w:t>22</w:t>
      </w:r>
      <w:r>
        <w:rPr>
          <w:rFonts w:ascii="宋体" w:eastAsia="宋体" w:cs="宋体" w:hint="eastAsia"/>
        </w:rPr>
        <w:t>年</w:t>
      </w:r>
      <w:r>
        <w:rPr>
          <w:rFonts w:ascii="Times New Roman" w:eastAsia="宋体" w:cs="宋体"/>
        </w:rPr>
        <w:t>4</w:t>
      </w:r>
      <w:r>
        <w:rPr>
          <w:rFonts w:ascii="宋体" w:eastAsia="宋体" w:cs="宋体" w:hint="eastAsia"/>
        </w:rPr>
        <w:t>月</w:t>
      </w:r>
      <w:r>
        <w:rPr>
          <w:rFonts w:ascii="Times New Roman" w:eastAsia="宋体" w:cs="宋体" w:hint="eastAsia"/>
        </w:rPr>
        <w:t>2</w:t>
      </w:r>
      <w:r>
        <w:rPr>
          <w:rFonts w:ascii="Times New Roman" w:eastAsia="宋体" w:cs="宋体"/>
        </w:rPr>
        <w:t>7</w:t>
      </w:r>
      <w:r>
        <w:rPr>
          <w:rFonts w:ascii="宋体" w:eastAsia="宋体" w:cs="宋体" w:hint="eastAsia"/>
        </w:rPr>
        <w:t>日召开的</w:t>
      </w:r>
      <w:r>
        <w:rPr>
          <w:rFonts w:ascii="Times New Roman" w:eastAsia="宋体" w:cs="宋体" w:hint="eastAsia"/>
        </w:rPr>
        <w:t>2021</w:t>
      </w:r>
      <w:r>
        <w:rPr>
          <w:rFonts w:ascii="宋体" w:eastAsia="宋体" w:cs="宋体" w:hint="eastAsia"/>
        </w:rPr>
        <w:t>年度股东大会审议通过。截至</w:t>
      </w:r>
      <w:proofErr w:type="gramStart"/>
      <w:r>
        <w:rPr>
          <w:rFonts w:ascii="宋体" w:eastAsia="宋体" w:cs="宋体" w:hint="eastAsia"/>
        </w:rPr>
        <w:t>本持续</w:t>
      </w:r>
      <w:proofErr w:type="gramEnd"/>
      <w:r>
        <w:rPr>
          <w:rFonts w:ascii="宋体" w:eastAsia="宋体" w:cs="宋体" w:hint="eastAsia"/>
        </w:rPr>
        <w:t>督导期末，该事项尚未开始转让。</w:t>
      </w:r>
    </w:p>
    <w:p w14:paraId="3259E83E" w14:textId="77777777" w:rsidR="008B1F7D" w:rsidRDefault="005C1DA5">
      <w:pPr>
        <w:pStyle w:val="Default"/>
        <w:spacing w:beforeLines="50" w:before="156" w:afterLines="50" w:after="156" w:line="360" w:lineRule="auto"/>
        <w:ind w:firstLineChars="200" w:firstLine="480"/>
        <w:jc w:val="both"/>
        <w:rPr>
          <w:rFonts w:ascii="宋体" w:eastAsia="宋体" w:cs="宋体"/>
        </w:rPr>
      </w:pPr>
      <w:r>
        <w:rPr>
          <w:rFonts w:ascii="宋体" w:eastAsia="宋体" w:cs="宋体" w:hint="eastAsia"/>
        </w:rPr>
        <w:t>经核查，上述出售股权事宜</w:t>
      </w:r>
      <w:proofErr w:type="gramStart"/>
      <w:r>
        <w:rPr>
          <w:rFonts w:ascii="宋体" w:eastAsia="宋体" w:cs="宋体" w:hint="eastAsia"/>
        </w:rPr>
        <w:t>系上市</w:t>
      </w:r>
      <w:proofErr w:type="gramEnd"/>
      <w:r>
        <w:rPr>
          <w:rFonts w:ascii="宋体" w:eastAsia="宋体" w:cs="宋体" w:hint="eastAsia"/>
        </w:rPr>
        <w:t>公司为聚焦电力主业发展目标、减轻公司资金和成本压力等实际情况需要而做的计划。</w:t>
      </w:r>
      <w:proofErr w:type="gramStart"/>
      <w:r>
        <w:rPr>
          <w:rFonts w:ascii="宋体" w:eastAsia="宋体" w:cs="宋体" w:hint="eastAsia"/>
        </w:rPr>
        <w:t>本持续</w:t>
      </w:r>
      <w:proofErr w:type="gramEnd"/>
      <w:r>
        <w:rPr>
          <w:rFonts w:ascii="宋体" w:eastAsia="宋体" w:cs="宋体" w:hint="eastAsia"/>
        </w:rPr>
        <w:t>督导期内，收购人及其一致行动人没有对上市公司及其子公司的资产和业务进行出售、合并、与他人合资或合作的计划和安排，也未实施其他使上市公司购买或置换资产的重组计划。</w:t>
      </w:r>
    </w:p>
    <w:bookmarkEnd w:id="4"/>
    <w:p w14:paraId="3E2F6EB0" w14:textId="77777777" w:rsidR="008B1F7D" w:rsidRDefault="005C1DA5">
      <w:pPr>
        <w:pStyle w:val="Default"/>
        <w:spacing w:beforeLines="50" w:before="156" w:afterLines="50" w:after="156" w:line="360" w:lineRule="auto"/>
        <w:ind w:firstLineChars="200" w:firstLine="482"/>
        <w:jc w:val="both"/>
        <w:outlineLvl w:val="1"/>
        <w:rPr>
          <w:rFonts w:ascii="Times New Roman" w:eastAsia="宋体" w:cs="宋体"/>
          <w:b/>
          <w:bCs/>
        </w:rPr>
      </w:pPr>
      <w:r>
        <w:rPr>
          <w:rFonts w:ascii="Times New Roman" w:eastAsia="宋体" w:cs="宋体" w:hint="eastAsia"/>
          <w:b/>
          <w:bCs/>
        </w:rPr>
        <w:t>（三）对上市公司现任董事、高级管理人员的调整计划</w:t>
      </w:r>
    </w:p>
    <w:p w14:paraId="3CB61973" w14:textId="77777777" w:rsidR="008B1F7D" w:rsidRDefault="005C1DA5">
      <w:pPr>
        <w:pStyle w:val="Default"/>
        <w:spacing w:beforeLines="50" w:before="156" w:afterLines="50" w:after="156" w:line="360" w:lineRule="auto"/>
        <w:ind w:firstLineChars="200" w:firstLine="480"/>
        <w:rPr>
          <w:rFonts w:ascii="宋体" w:eastAsia="宋体" w:cs="宋体"/>
        </w:rPr>
      </w:pPr>
      <w:bookmarkStart w:id="5" w:name="_Hlk99445782"/>
      <w:r>
        <w:rPr>
          <w:rFonts w:ascii="宋体" w:eastAsia="宋体" w:cs="宋体" w:hint="eastAsia"/>
        </w:rPr>
        <w:t>经核查，</w:t>
      </w:r>
      <w:bookmarkEnd w:id="5"/>
      <w:proofErr w:type="gramStart"/>
      <w:r>
        <w:rPr>
          <w:rFonts w:ascii="宋体" w:eastAsia="宋体" w:cs="宋体" w:hint="eastAsia"/>
        </w:rPr>
        <w:t>本持续</w:t>
      </w:r>
      <w:proofErr w:type="gramEnd"/>
      <w:r>
        <w:rPr>
          <w:rFonts w:ascii="宋体" w:eastAsia="宋体" w:cs="宋体" w:hint="eastAsia"/>
        </w:rPr>
        <w:t>督导期内，收购人及其一致行动人不存在对上市公司现任董事或高级管理人员进行的调整计划或建议。</w:t>
      </w:r>
    </w:p>
    <w:p w14:paraId="30FB1D81" w14:textId="77777777" w:rsidR="008B1F7D" w:rsidRDefault="005C1DA5">
      <w:pPr>
        <w:pStyle w:val="Default"/>
        <w:spacing w:beforeLines="50" w:before="156" w:afterLines="50" w:after="156" w:line="360" w:lineRule="auto"/>
        <w:ind w:firstLineChars="200" w:firstLine="482"/>
        <w:jc w:val="both"/>
        <w:outlineLvl w:val="1"/>
        <w:rPr>
          <w:rFonts w:ascii="Times New Roman" w:eastAsia="宋体" w:cs="宋体"/>
          <w:b/>
          <w:bCs/>
        </w:rPr>
      </w:pPr>
      <w:r>
        <w:rPr>
          <w:rFonts w:ascii="Times New Roman" w:eastAsia="宋体" w:cs="宋体" w:hint="eastAsia"/>
          <w:b/>
          <w:bCs/>
        </w:rPr>
        <w:t>（四）对上市公司章程条款进行修改的计划</w:t>
      </w:r>
    </w:p>
    <w:p w14:paraId="2CA7B7B4" w14:textId="77777777" w:rsidR="008B1F7D" w:rsidRDefault="005C1DA5">
      <w:pPr>
        <w:pStyle w:val="Default"/>
        <w:spacing w:beforeLines="50" w:before="156" w:afterLines="50" w:after="156" w:line="360" w:lineRule="auto"/>
        <w:ind w:firstLineChars="200" w:firstLine="480"/>
        <w:jc w:val="both"/>
        <w:rPr>
          <w:rFonts w:ascii="Times New Roman" w:eastAsia="宋体" w:cs="Times New Roman"/>
        </w:rPr>
      </w:pPr>
      <w:r>
        <w:rPr>
          <w:rFonts w:ascii="Times New Roman" w:eastAsia="宋体" w:cs="Times New Roman"/>
        </w:rPr>
        <w:t>桂东电力于</w:t>
      </w:r>
      <w:r>
        <w:rPr>
          <w:rFonts w:ascii="Times New Roman" w:eastAsia="宋体" w:cs="Times New Roman"/>
        </w:rPr>
        <w:t>2022</w:t>
      </w:r>
      <w:r>
        <w:rPr>
          <w:rFonts w:ascii="Times New Roman" w:eastAsia="宋体" w:cs="Times New Roman"/>
        </w:rPr>
        <w:t>年</w:t>
      </w:r>
      <w:r>
        <w:rPr>
          <w:rFonts w:ascii="Times New Roman" w:eastAsia="宋体" w:cs="Times New Roman"/>
        </w:rPr>
        <w:t>3</w:t>
      </w:r>
      <w:r>
        <w:rPr>
          <w:rFonts w:ascii="Times New Roman" w:eastAsia="宋体" w:cs="Times New Roman"/>
        </w:rPr>
        <w:t>月</w:t>
      </w:r>
      <w:r>
        <w:rPr>
          <w:rFonts w:ascii="Times New Roman" w:eastAsia="宋体" w:cs="Times New Roman"/>
        </w:rPr>
        <w:t>29</w:t>
      </w:r>
      <w:r>
        <w:rPr>
          <w:rFonts w:ascii="Times New Roman" w:eastAsia="宋体" w:cs="Times New Roman"/>
        </w:rPr>
        <w:t>日召开的第八届董事会第十四次会议、于</w:t>
      </w:r>
      <w:r>
        <w:rPr>
          <w:rFonts w:ascii="Times New Roman" w:eastAsia="宋体" w:cs="Times New Roman"/>
        </w:rPr>
        <w:t>2022</w:t>
      </w:r>
      <w:r>
        <w:rPr>
          <w:rFonts w:ascii="Times New Roman" w:eastAsia="宋体" w:cs="Times New Roman"/>
        </w:rPr>
        <w:t>年</w:t>
      </w:r>
      <w:r>
        <w:rPr>
          <w:rFonts w:ascii="Times New Roman" w:eastAsia="宋体" w:cs="Times New Roman"/>
        </w:rPr>
        <w:t>4</w:t>
      </w:r>
      <w:r>
        <w:rPr>
          <w:rFonts w:ascii="Times New Roman" w:eastAsia="宋体" w:cs="Times New Roman"/>
        </w:rPr>
        <w:t>月</w:t>
      </w:r>
      <w:r>
        <w:rPr>
          <w:rFonts w:ascii="Times New Roman" w:eastAsia="宋体" w:cs="Times New Roman"/>
        </w:rPr>
        <w:t>27</w:t>
      </w:r>
      <w:r>
        <w:rPr>
          <w:rFonts w:ascii="Times New Roman" w:eastAsia="宋体" w:cs="Times New Roman"/>
        </w:rPr>
        <w:t>日召开的</w:t>
      </w:r>
      <w:r>
        <w:rPr>
          <w:rFonts w:ascii="Times New Roman" w:eastAsia="宋体" w:cs="Times New Roman"/>
        </w:rPr>
        <w:t>2021</w:t>
      </w:r>
      <w:r>
        <w:rPr>
          <w:rFonts w:ascii="Times New Roman" w:eastAsia="宋体" w:cs="Times New Roman"/>
        </w:rPr>
        <w:t>年度股东大会审议通过《关于修改公司</w:t>
      </w:r>
      <w:r>
        <w:rPr>
          <w:rFonts w:ascii="Times New Roman" w:eastAsia="宋体" w:cs="Times New Roman"/>
        </w:rPr>
        <w:t>&lt;</w:t>
      </w:r>
      <w:r>
        <w:rPr>
          <w:rFonts w:ascii="Times New Roman" w:eastAsia="宋体" w:cs="Times New Roman"/>
        </w:rPr>
        <w:t>章程</w:t>
      </w:r>
      <w:r>
        <w:rPr>
          <w:rFonts w:ascii="Times New Roman" w:eastAsia="宋体" w:cs="Times New Roman"/>
        </w:rPr>
        <w:t>&gt;</w:t>
      </w:r>
      <w:r>
        <w:rPr>
          <w:rFonts w:ascii="Times New Roman" w:eastAsia="宋体" w:cs="Times New Roman"/>
        </w:rPr>
        <w:t>部分条款的议案》</w:t>
      </w:r>
      <w:r>
        <w:rPr>
          <w:rFonts w:ascii="Times New Roman" w:eastAsia="宋体" w:cs="Times New Roman"/>
        </w:rPr>
        <w:t>,</w:t>
      </w:r>
      <w:r>
        <w:rPr>
          <w:rFonts w:ascii="Times New Roman" w:eastAsia="宋体" w:cs="Times New Roman"/>
        </w:rPr>
        <w:t>对</w:t>
      </w:r>
      <w:r>
        <w:rPr>
          <w:rFonts w:ascii="Times New Roman" w:eastAsia="宋体" w:cs="Times New Roman" w:hint="eastAsia"/>
        </w:rPr>
        <w:t>《公司章程》中关于党建工作、公司特定股东短线交易、股东大会审议重大交易、财务资助及对外担保等事项的标准、公开征集股东投票权、董事、监事的提名程序、对外捐赠事项的审批权限等条款进行修订。</w:t>
      </w:r>
    </w:p>
    <w:p w14:paraId="393F4610" w14:textId="77777777" w:rsidR="008B1F7D" w:rsidRDefault="005C1DA5">
      <w:pPr>
        <w:pStyle w:val="Default"/>
        <w:spacing w:beforeLines="50" w:before="156" w:afterLines="50" w:after="156" w:line="360" w:lineRule="auto"/>
        <w:ind w:firstLineChars="200" w:firstLine="480"/>
        <w:jc w:val="both"/>
        <w:rPr>
          <w:rFonts w:ascii="宋体" w:eastAsia="宋体" w:cs="宋体"/>
        </w:rPr>
      </w:pPr>
      <w:r>
        <w:rPr>
          <w:rFonts w:ascii="宋体" w:eastAsia="宋体" w:cs="宋体" w:hint="eastAsia"/>
        </w:rPr>
        <w:lastRenderedPageBreak/>
        <w:t>经核查，《章程》</w:t>
      </w:r>
      <w:r>
        <w:rPr>
          <w:rFonts w:ascii="Times New Roman" w:eastAsia="宋体" w:cs="Times New Roman" w:hint="eastAsia"/>
        </w:rPr>
        <w:t>上述条款不属于可能阻碍收购上市公司控制权的条款。</w:t>
      </w:r>
      <w:proofErr w:type="gramStart"/>
      <w:r>
        <w:rPr>
          <w:rFonts w:ascii="宋体" w:eastAsia="宋体" w:cs="宋体" w:hint="eastAsia"/>
        </w:rPr>
        <w:t>本持续</w:t>
      </w:r>
      <w:proofErr w:type="gramEnd"/>
      <w:r>
        <w:rPr>
          <w:rFonts w:ascii="宋体" w:eastAsia="宋体" w:cs="宋体" w:hint="eastAsia"/>
        </w:rPr>
        <w:t>督导期内，收购人及其一致行动人不存在对可能阻碍收购上市公司控制权的公司章程条款的修改计划事项。</w:t>
      </w:r>
    </w:p>
    <w:p w14:paraId="4B6FAD34" w14:textId="77777777" w:rsidR="008B1F7D" w:rsidRDefault="005C1DA5">
      <w:pPr>
        <w:pStyle w:val="Default"/>
        <w:spacing w:beforeLines="50" w:before="156" w:afterLines="50" w:after="156" w:line="360" w:lineRule="auto"/>
        <w:ind w:firstLineChars="200" w:firstLine="482"/>
        <w:jc w:val="both"/>
        <w:outlineLvl w:val="1"/>
        <w:rPr>
          <w:rFonts w:ascii="Times New Roman" w:eastAsia="宋体" w:cs="宋体"/>
          <w:b/>
          <w:bCs/>
        </w:rPr>
      </w:pPr>
      <w:r>
        <w:rPr>
          <w:rFonts w:ascii="Times New Roman" w:eastAsia="宋体" w:cs="宋体" w:hint="eastAsia"/>
          <w:b/>
          <w:bCs/>
        </w:rPr>
        <w:t>（五）对上市公司现有员工聘用作重大变动的计划</w:t>
      </w:r>
    </w:p>
    <w:p w14:paraId="1654721E" w14:textId="77777777" w:rsidR="008B1F7D" w:rsidRDefault="005C1DA5">
      <w:pPr>
        <w:pStyle w:val="Default"/>
        <w:spacing w:beforeLines="50" w:before="156" w:afterLines="50" w:after="156" w:line="360" w:lineRule="auto"/>
        <w:ind w:firstLineChars="200" w:firstLine="480"/>
        <w:jc w:val="both"/>
        <w:rPr>
          <w:rFonts w:ascii="宋体" w:eastAsia="宋体" w:cs="宋体"/>
        </w:rPr>
      </w:pPr>
      <w:r>
        <w:rPr>
          <w:rFonts w:ascii="宋体" w:eastAsia="宋体" w:cs="宋体" w:hint="eastAsia"/>
        </w:rPr>
        <w:t>经核查，</w:t>
      </w:r>
      <w:proofErr w:type="gramStart"/>
      <w:r>
        <w:rPr>
          <w:rFonts w:ascii="宋体" w:eastAsia="宋体" w:cs="宋体" w:hint="eastAsia"/>
        </w:rPr>
        <w:t>本持续</w:t>
      </w:r>
      <w:proofErr w:type="gramEnd"/>
      <w:r>
        <w:rPr>
          <w:rFonts w:ascii="宋体" w:eastAsia="宋体" w:cs="宋体" w:hint="eastAsia"/>
        </w:rPr>
        <w:t>督导期内，收购人及其一致行动人不存在对上市公司现有员工聘用</w:t>
      </w:r>
      <w:proofErr w:type="gramStart"/>
      <w:r>
        <w:rPr>
          <w:rFonts w:ascii="宋体" w:eastAsia="宋体" w:cs="宋体" w:hint="eastAsia"/>
        </w:rPr>
        <w:t>作出</w:t>
      </w:r>
      <w:proofErr w:type="gramEnd"/>
      <w:r>
        <w:rPr>
          <w:rFonts w:ascii="宋体" w:eastAsia="宋体" w:cs="宋体" w:hint="eastAsia"/>
        </w:rPr>
        <w:t>重大变动的情况。</w:t>
      </w:r>
    </w:p>
    <w:p w14:paraId="40AAB4A7" w14:textId="77777777" w:rsidR="008B1F7D" w:rsidRDefault="005C1DA5">
      <w:pPr>
        <w:pStyle w:val="Default"/>
        <w:spacing w:beforeLines="50" w:before="156" w:afterLines="50" w:after="156" w:line="360" w:lineRule="auto"/>
        <w:ind w:firstLineChars="200" w:firstLine="482"/>
        <w:jc w:val="both"/>
        <w:outlineLvl w:val="1"/>
        <w:rPr>
          <w:rFonts w:ascii="Times New Roman" w:eastAsia="宋体" w:cs="宋体"/>
          <w:b/>
          <w:bCs/>
        </w:rPr>
      </w:pPr>
      <w:r>
        <w:rPr>
          <w:rFonts w:ascii="Times New Roman" w:eastAsia="宋体" w:cs="宋体" w:hint="eastAsia"/>
          <w:b/>
          <w:bCs/>
        </w:rPr>
        <w:t>（六）对上市公司分红政策修改的计划</w:t>
      </w:r>
    </w:p>
    <w:p w14:paraId="6FE136A5" w14:textId="77777777" w:rsidR="008B1F7D" w:rsidRDefault="005C1DA5">
      <w:pPr>
        <w:pStyle w:val="Default"/>
        <w:spacing w:beforeLines="50" w:before="156" w:afterLines="50" w:after="156" w:line="360" w:lineRule="auto"/>
        <w:ind w:firstLineChars="200" w:firstLine="480"/>
        <w:jc w:val="both"/>
        <w:rPr>
          <w:rFonts w:ascii="宋体" w:eastAsia="宋体" w:cs="宋体"/>
        </w:rPr>
      </w:pPr>
      <w:r>
        <w:rPr>
          <w:rFonts w:ascii="宋体" w:eastAsia="宋体" w:cs="宋体" w:hint="eastAsia"/>
        </w:rPr>
        <w:t>经核查，</w:t>
      </w:r>
      <w:proofErr w:type="gramStart"/>
      <w:r>
        <w:rPr>
          <w:rFonts w:ascii="宋体" w:eastAsia="宋体" w:cs="宋体" w:hint="eastAsia"/>
        </w:rPr>
        <w:t>本持续</w:t>
      </w:r>
      <w:proofErr w:type="gramEnd"/>
      <w:r>
        <w:rPr>
          <w:rFonts w:ascii="宋体" w:eastAsia="宋体" w:cs="宋体" w:hint="eastAsia"/>
        </w:rPr>
        <w:t>督导期内，收购人及其一致行动人不存在对上市公司分红政策进行重大调整的情况。</w:t>
      </w:r>
    </w:p>
    <w:p w14:paraId="2DFA38D3" w14:textId="77777777" w:rsidR="008B1F7D" w:rsidRDefault="005C1DA5">
      <w:pPr>
        <w:pStyle w:val="Default"/>
        <w:spacing w:beforeLines="50" w:before="156" w:afterLines="50" w:after="156" w:line="360" w:lineRule="auto"/>
        <w:ind w:firstLineChars="200" w:firstLine="482"/>
        <w:jc w:val="both"/>
        <w:outlineLvl w:val="1"/>
        <w:rPr>
          <w:rFonts w:ascii="Times New Roman" w:eastAsia="宋体" w:cs="宋体"/>
          <w:b/>
          <w:bCs/>
        </w:rPr>
      </w:pPr>
      <w:r>
        <w:rPr>
          <w:rFonts w:ascii="Times New Roman" w:eastAsia="宋体" w:cs="宋体" w:hint="eastAsia"/>
          <w:b/>
          <w:bCs/>
        </w:rPr>
        <w:t>（七）其他对上市公司的业务和组织结构有重大影响的计划</w:t>
      </w:r>
    </w:p>
    <w:p w14:paraId="7362CB3E" w14:textId="77777777" w:rsidR="008B1F7D" w:rsidRDefault="005C1DA5">
      <w:pPr>
        <w:pStyle w:val="Default"/>
        <w:spacing w:beforeLines="50" w:before="156" w:afterLines="50" w:after="156" w:line="360" w:lineRule="auto"/>
        <w:ind w:firstLineChars="200" w:firstLine="480"/>
        <w:jc w:val="both"/>
        <w:rPr>
          <w:rFonts w:ascii="宋体" w:eastAsia="宋体" w:cs="宋体"/>
        </w:rPr>
      </w:pPr>
      <w:r>
        <w:rPr>
          <w:rFonts w:ascii="宋体" w:eastAsia="宋体" w:cs="宋体" w:hint="eastAsia"/>
        </w:rPr>
        <w:t>经核查，</w:t>
      </w:r>
      <w:proofErr w:type="gramStart"/>
      <w:r>
        <w:rPr>
          <w:rFonts w:ascii="宋体" w:eastAsia="宋体" w:cs="宋体" w:hint="eastAsia"/>
        </w:rPr>
        <w:t>本持续</w:t>
      </w:r>
      <w:proofErr w:type="gramEnd"/>
      <w:r>
        <w:rPr>
          <w:rFonts w:ascii="宋体" w:eastAsia="宋体" w:cs="宋体" w:hint="eastAsia"/>
        </w:rPr>
        <w:t>督导期内，收购人及其一致行动人不存在其他对上市公司业务和组织结构有重大影响的计划。</w:t>
      </w:r>
    </w:p>
    <w:p w14:paraId="301C0C80" w14:textId="77777777" w:rsidR="008B1F7D" w:rsidRDefault="005C1DA5">
      <w:pPr>
        <w:pStyle w:val="Default"/>
        <w:spacing w:beforeLines="50" w:before="156" w:afterLines="50" w:after="156" w:line="360" w:lineRule="auto"/>
        <w:ind w:firstLineChars="200" w:firstLine="482"/>
        <w:jc w:val="both"/>
        <w:outlineLvl w:val="0"/>
        <w:rPr>
          <w:rFonts w:ascii="宋体" w:eastAsia="宋体" w:cs="宋体"/>
          <w:b/>
          <w:bCs/>
        </w:rPr>
      </w:pPr>
      <w:r>
        <w:rPr>
          <w:rFonts w:ascii="宋体" w:eastAsia="宋体" w:cs="宋体" w:hint="eastAsia"/>
          <w:b/>
          <w:bCs/>
        </w:rPr>
        <w:t>五、提供担保或借款</w:t>
      </w:r>
    </w:p>
    <w:p w14:paraId="3F185175" w14:textId="77777777" w:rsidR="008B1F7D" w:rsidRDefault="005C1DA5">
      <w:pPr>
        <w:pStyle w:val="Default"/>
        <w:spacing w:beforeLines="50" w:before="156" w:afterLines="50" w:after="156" w:line="360" w:lineRule="auto"/>
        <w:ind w:firstLineChars="200" w:firstLine="480"/>
        <w:rPr>
          <w:rFonts w:ascii="宋体" w:eastAsia="宋体" w:cs="宋体"/>
        </w:rPr>
      </w:pPr>
      <w:proofErr w:type="gramStart"/>
      <w:r>
        <w:rPr>
          <w:rFonts w:ascii="宋体" w:eastAsia="宋体" w:cs="宋体" w:hint="eastAsia"/>
        </w:rPr>
        <w:t>本持续</w:t>
      </w:r>
      <w:proofErr w:type="gramEnd"/>
      <w:r>
        <w:rPr>
          <w:rFonts w:ascii="宋体" w:eastAsia="宋体" w:cs="宋体" w:hint="eastAsia"/>
        </w:rPr>
        <w:t>督导期内，未发现收购人及其关联方要求上市公司违规为其提供担保或借款等损害上市公司利益的情形。</w:t>
      </w:r>
    </w:p>
    <w:p w14:paraId="22F9CFDF" w14:textId="77777777" w:rsidR="008B1F7D" w:rsidRDefault="005C1DA5">
      <w:pPr>
        <w:pStyle w:val="Default"/>
        <w:spacing w:beforeLines="50" w:before="156" w:afterLines="50" w:after="156" w:line="360" w:lineRule="auto"/>
        <w:ind w:firstLineChars="200" w:firstLine="482"/>
        <w:jc w:val="both"/>
        <w:outlineLvl w:val="0"/>
        <w:rPr>
          <w:rFonts w:ascii="宋体" w:eastAsia="宋体" w:cs="宋体"/>
          <w:b/>
          <w:bCs/>
        </w:rPr>
      </w:pPr>
      <w:bookmarkStart w:id="6" w:name="_Hlk99446004"/>
      <w:r>
        <w:rPr>
          <w:rFonts w:ascii="宋体" w:eastAsia="宋体" w:cs="宋体" w:hint="eastAsia"/>
          <w:b/>
          <w:bCs/>
        </w:rPr>
        <w:t>六、持续督导意见</w:t>
      </w:r>
    </w:p>
    <w:p w14:paraId="64A853BC" w14:textId="077C57B4" w:rsidR="008B1F7D" w:rsidRDefault="005C1DA5">
      <w:pPr>
        <w:pStyle w:val="Default"/>
        <w:spacing w:beforeLines="50" w:before="156" w:afterLines="50" w:after="156" w:line="360" w:lineRule="auto"/>
        <w:ind w:firstLineChars="200" w:firstLine="480"/>
        <w:rPr>
          <w:rFonts w:ascii="宋体" w:eastAsia="宋体" w:cs="宋体"/>
        </w:rPr>
      </w:pPr>
      <w:r>
        <w:rPr>
          <w:rFonts w:ascii="宋体" w:eastAsia="宋体" w:cs="宋体" w:hint="eastAsia"/>
        </w:rPr>
        <w:t>综上所述，</w:t>
      </w:r>
      <w:proofErr w:type="gramStart"/>
      <w:r>
        <w:rPr>
          <w:rFonts w:ascii="宋体" w:eastAsia="宋体" w:cs="宋体" w:hint="eastAsia"/>
        </w:rPr>
        <w:t>本持续</w:t>
      </w:r>
      <w:proofErr w:type="gramEnd"/>
      <w:r>
        <w:rPr>
          <w:rFonts w:ascii="宋体" w:eastAsia="宋体" w:cs="宋体" w:hint="eastAsia"/>
        </w:rPr>
        <w:t>督导期内，收购人及其一致行动人依法履行了免于要约收购的报告和公告义务；收购人及其一致行动人按照中国证监会和</w:t>
      </w:r>
      <w:r w:rsidR="007A57B3">
        <w:rPr>
          <w:rFonts w:ascii="宋体" w:eastAsia="宋体" w:cs="宋体" w:hint="eastAsia"/>
        </w:rPr>
        <w:t>上交所</w:t>
      </w:r>
      <w:r>
        <w:rPr>
          <w:rFonts w:ascii="宋体" w:eastAsia="宋体" w:cs="宋体" w:hint="eastAsia"/>
        </w:rPr>
        <w:t>的相关要求规范运作；未发现收购人及其一致行动人存在违反公开承诺的情形；未发现收购人及其关联方要求上市公司违规为其提供担保或借款等损害上市公司利益的情形。</w:t>
      </w:r>
    </w:p>
    <w:bookmarkEnd w:id="6"/>
    <w:p w14:paraId="28A13634" w14:textId="77777777" w:rsidR="008B1F7D" w:rsidRDefault="005C1DA5">
      <w:pPr>
        <w:pStyle w:val="Default"/>
        <w:spacing w:beforeLines="50" w:before="156" w:afterLines="50" w:after="156" w:line="360" w:lineRule="auto"/>
        <w:ind w:firstLineChars="200" w:firstLine="480"/>
        <w:jc w:val="both"/>
        <w:rPr>
          <w:rFonts w:ascii="宋体" w:eastAsia="宋体" w:cs="宋体"/>
        </w:rPr>
        <w:sectPr w:rsidR="008B1F7D">
          <w:footerReference w:type="default" r:id="rId9"/>
          <w:pgSz w:w="11906" w:h="16838"/>
          <w:pgMar w:top="1440" w:right="1800" w:bottom="1440" w:left="1800" w:header="851" w:footer="992" w:gutter="0"/>
          <w:pgNumType w:start="1"/>
          <w:cols w:space="720"/>
          <w:docGrid w:type="lines" w:linePitch="312"/>
        </w:sectPr>
      </w:pPr>
      <w:r>
        <w:rPr>
          <w:rFonts w:ascii="宋体" w:eastAsia="宋体" w:cs="宋体" w:hint="eastAsia"/>
        </w:rPr>
        <w:t>（以下无正文）</w:t>
      </w:r>
    </w:p>
    <w:p w14:paraId="4BA939BD" w14:textId="1F701F2E" w:rsidR="008B1F7D" w:rsidRDefault="00D1494B">
      <w:pPr>
        <w:spacing w:beforeLines="50" w:before="156" w:afterLines="50" w:after="156" w:line="360" w:lineRule="auto"/>
        <w:rPr>
          <w:rFonts w:ascii="times new" w:eastAsia="宋体" w:hAnsi="times new" w:hint="eastAsia"/>
          <w:sz w:val="24"/>
          <w:szCs w:val="24"/>
        </w:rPr>
      </w:pPr>
      <w:r>
        <w:rPr>
          <w:noProof/>
        </w:rPr>
        <w:lastRenderedPageBreak/>
        <w:drawing>
          <wp:anchor distT="0" distB="0" distL="114300" distR="114300" simplePos="0" relativeHeight="251658240" behindDoc="0" locked="0" layoutInCell="1" allowOverlap="1" wp14:anchorId="5F049C59" wp14:editId="5A18E834">
            <wp:simplePos x="0" y="0"/>
            <wp:positionH relativeFrom="column">
              <wp:posOffset>-1112665</wp:posOffset>
            </wp:positionH>
            <wp:positionV relativeFrom="paragraph">
              <wp:posOffset>-871065</wp:posOffset>
            </wp:positionV>
            <wp:extent cx="7510515" cy="10617441"/>
            <wp:effectExtent l="0" t="0" r="0" b="0"/>
            <wp:wrapNone/>
            <wp:docPr id="2" name="图片 2" descr="图示&#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中度可信度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3248" cy="10635441"/>
                    </a:xfrm>
                    <a:prstGeom prst="rect">
                      <a:avLst/>
                    </a:prstGeom>
                    <a:noFill/>
                    <a:ln>
                      <a:noFill/>
                    </a:ln>
                  </pic:spPr>
                </pic:pic>
              </a:graphicData>
            </a:graphic>
            <wp14:sizeRelH relativeFrom="page">
              <wp14:pctWidth>0</wp14:pctWidth>
            </wp14:sizeRelH>
            <wp14:sizeRelV relativeFrom="page">
              <wp14:pctHeight>0</wp14:pctHeight>
            </wp14:sizeRelV>
          </wp:anchor>
        </w:drawing>
      </w:r>
      <w:r w:rsidR="005C1DA5">
        <w:rPr>
          <w:rFonts w:ascii="times new" w:eastAsia="宋体" w:hAnsi="times new" w:hint="eastAsia"/>
          <w:sz w:val="24"/>
          <w:szCs w:val="24"/>
        </w:rPr>
        <w:t>（本页无正文，为《国海证券股份有限公司关于广西广投能源集团有限公司免于发出要约收购广西桂东电力股份有限公司之</w:t>
      </w:r>
      <w:r w:rsidR="005C1DA5">
        <w:rPr>
          <w:rFonts w:ascii="Times New Roman" w:eastAsia="宋体" w:hint="eastAsia"/>
          <w:sz w:val="24"/>
          <w:szCs w:val="24"/>
        </w:rPr>
        <w:t>2022</w:t>
      </w:r>
      <w:r w:rsidR="005C1DA5">
        <w:rPr>
          <w:rFonts w:ascii="times new" w:eastAsia="宋体" w:hAnsi="times new" w:hint="eastAsia"/>
          <w:sz w:val="24"/>
          <w:szCs w:val="24"/>
        </w:rPr>
        <w:t>年第一季度持续督导意见》之盖章页）</w:t>
      </w:r>
    </w:p>
    <w:p w14:paraId="3618E120" w14:textId="77777777" w:rsidR="008B1F7D" w:rsidRDefault="008B1F7D">
      <w:pPr>
        <w:spacing w:beforeLines="50" w:before="156" w:afterLines="50" w:after="156" w:line="360" w:lineRule="auto"/>
        <w:ind w:firstLineChars="200" w:firstLine="480"/>
        <w:rPr>
          <w:rFonts w:ascii="times new" w:eastAsia="宋体" w:hAnsi="times new" w:hint="eastAsia"/>
          <w:sz w:val="24"/>
          <w:szCs w:val="24"/>
        </w:rPr>
      </w:pPr>
    </w:p>
    <w:tbl>
      <w:tblPr>
        <w:tblW w:w="8635" w:type="dxa"/>
        <w:jc w:val="center"/>
        <w:tblLayout w:type="fixed"/>
        <w:tblLook w:val="04A0" w:firstRow="1" w:lastRow="0" w:firstColumn="1" w:lastColumn="0" w:noHBand="0" w:noVBand="1"/>
      </w:tblPr>
      <w:tblGrid>
        <w:gridCol w:w="2977"/>
        <w:gridCol w:w="2281"/>
        <w:gridCol w:w="1157"/>
        <w:gridCol w:w="2220"/>
      </w:tblGrid>
      <w:tr w:rsidR="008B1F7D" w14:paraId="12FF69FA" w14:textId="77777777">
        <w:trPr>
          <w:trHeight w:val="1209"/>
          <w:jc w:val="center"/>
        </w:trPr>
        <w:tc>
          <w:tcPr>
            <w:tcW w:w="2977" w:type="dxa"/>
            <w:vAlign w:val="center"/>
          </w:tcPr>
          <w:p w14:paraId="73815DD1" w14:textId="77777777" w:rsidR="008B1F7D" w:rsidRDefault="005C1DA5">
            <w:pPr>
              <w:widowControl/>
              <w:jc w:val="right"/>
              <w:rPr>
                <w:rFonts w:ascii="Times New Roman" w:eastAsia="宋体" w:cs="Times New Roman"/>
                <w:color w:val="000000"/>
                <w:sz w:val="24"/>
                <w:szCs w:val="24"/>
              </w:rPr>
            </w:pPr>
            <w:r>
              <w:rPr>
                <w:rFonts w:ascii="Times New Roman" w:eastAsia="宋体" w:cs="Times New Roman"/>
                <w:color w:val="000000"/>
                <w:sz w:val="24"/>
                <w:szCs w:val="24"/>
              </w:rPr>
              <w:t>财务顾问主办人：</w:t>
            </w:r>
          </w:p>
        </w:tc>
        <w:tc>
          <w:tcPr>
            <w:tcW w:w="2281" w:type="dxa"/>
            <w:vAlign w:val="center"/>
          </w:tcPr>
          <w:p w14:paraId="44F908EC" w14:textId="77777777" w:rsidR="008B1F7D" w:rsidRDefault="008B1F7D">
            <w:pPr>
              <w:jc w:val="left"/>
              <w:rPr>
                <w:rFonts w:ascii="Times New Roman" w:eastAsia="宋体" w:cs="Times New Roman"/>
                <w:color w:val="000000"/>
                <w:sz w:val="24"/>
                <w:szCs w:val="24"/>
              </w:rPr>
            </w:pPr>
          </w:p>
        </w:tc>
        <w:tc>
          <w:tcPr>
            <w:tcW w:w="1157" w:type="dxa"/>
          </w:tcPr>
          <w:p w14:paraId="20D81217" w14:textId="77777777" w:rsidR="008B1F7D" w:rsidRDefault="008B1F7D">
            <w:pPr>
              <w:jc w:val="left"/>
              <w:rPr>
                <w:rFonts w:ascii="Times New Roman" w:eastAsia="宋体" w:cs="Times New Roman"/>
                <w:color w:val="000000"/>
                <w:sz w:val="24"/>
                <w:szCs w:val="24"/>
              </w:rPr>
            </w:pPr>
          </w:p>
        </w:tc>
        <w:tc>
          <w:tcPr>
            <w:tcW w:w="2220" w:type="dxa"/>
          </w:tcPr>
          <w:p w14:paraId="1C3AB35B" w14:textId="77777777" w:rsidR="008B1F7D" w:rsidRDefault="008B1F7D">
            <w:pPr>
              <w:jc w:val="left"/>
              <w:rPr>
                <w:rFonts w:ascii="Times New Roman" w:eastAsia="宋体" w:cs="Times New Roman"/>
                <w:color w:val="000000"/>
                <w:sz w:val="24"/>
                <w:szCs w:val="24"/>
              </w:rPr>
            </w:pPr>
          </w:p>
        </w:tc>
      </w:tr>
      <w:tr w:rsidR="008B1F7D" w14:paraId="3929F532" w14:textId="77777777">
        <w:trPr>
          <w:trHeight w:val="470"/>
          <w:jc w:val="center"/>
        </w:trPr>
        <w:tc>
          <w:tcPr>
            <w:tcW w:w="2977" w:type="dxa"/>
            <w:vAlign w:val="center"/>
          </w:tcPr>
          <w:p w14:paraId="6B914CF9" w14:textId="77777777" w:rsidR="008B1F7D" w:rsidRDefault="008B1F7D">
            <w:pPr>
              <w:spacing w:line="360" w:lineRule="auto"/>
              <w:jc w:val="left"/>
              <w:rPr>
                <w:rFonts w:ascii="Times New Roman" w:eastAsia="宋体" w:cs="Times New Roman"/>
                <w:color w:val="000000"/>
                <w:sz w:val="24"/>
                <w:szCs w:val="24"/>
              </w:rPr>
            </w:pPr>
          </w:p>
        </w:tc>
        <w:tc>
          <w:tcPr>
            <w:tcW w:w="2281" w:type="dxa"/>
            <w:tcBorders>
              <w:top w:val="single" w:sz="4" w:space="0" w:color="auto"/>
            </w:tcBorders>
            <w:vAlign w:val="center"/>
          </w:tcPr>
          <w:p w14:paraId="4042CC4A" w14:textId="77777777" w:rsidR="008B1F7D" w:rsidRDefault="005C1DA5">
            <w:pPr>
              <w:jc w:val="center"/>
              <w:rPr>
                <w:rFonts w:ascii="Times New Roman" w:eastAsia="宋体" w:cs="Times New Roman"/>
                <w:color w:val="000000"/>
                <w:sz w:val="24"/>
                <w:szCs w:val="24"/>
              </w:rPr>
            </w:pPr>
            <w:proofErr w:type="gramStart"/>
            <w:r>
              <w:rPr>
                <w:rFonts w:ascii="Times New Roman" w:eastAsia="宋体" w:cs="Times New Roman" w:hint="eastAsia"/>
                <w:color w:val="000000"/>
                <w:sz w:val="24"/>
                <w:szCs w:val="24"/>
              </w:rPr>
              <w:t>雍</w:t>
            </w:r>
            <w:proofErr w:type="gramEnd"/>
            <w:r>
              <w:rPr>
                <w:rFonts w:ascii="Times New Roman" w:eastAsia="宋体" w:cs="Times New Roman" w:hint="eastAsia"/>
                <w:color w:val="000000"/>
                <w:sz w:val="24"/>
                <w:szCs w:val="24"/>
              </w:rPr>
              <w:t>艳萍</w:t>
            </w:r>
          </w:p>
        </w:tc>
        <w:tc>
          <w:tcPr>
            <w:tcW w:w="1157" w:type="dxa"/>
          </w:tcPr>
          <w:p w14:paraId="5DA41902" w14:textId="77777777" w:rsidR="008B1F7D" w:rsidRDefault="008B1F7D">
            <w:pPr>
              <w:spacing w:line="360" w:lineRule="auto"/>
              <w:jc w:val="left"/>
              <w:rPr>
                <w:rFonts w:ascii="Times New Roman" w:eastAsia="宋体" w:cs="Times New Roman"/>
                <w:color w:val="000000"/>
                <w:sz w:val="24"/>
                <w:szCs w:val="24"/>
              </w:rPr>
            </w:pPr>
          </w:p>
        </w:tc>
        <w:tc>
          <w:tcPr>
            <w:tcW w:w="2220" w:type="dxa"/>
            <w:tcBorders>
              <w:top w:val="single" w:sz="4" w:space="0" w:color="auto"/>
            </w:tcBorders>
            <w:vAlign w:val="center"/>
          </w:tcPr>
          <w:p w14:paraId="7B6051AB" w14:textId="77777777" w:rsidR="008B1F7D" w:rsidRDefault="005C1DA5">
            <w:pPr>
              <w:spacing w:line="360" w:lineRule="auto"/>
              <w:jc w:val="center"/>
              <w:rPr>
                <w:rFonts w:ascii="Times New Roman" w:eastAsia="宋体" w:cs="Times New Roman"/>
                <w:color w:val="000000"/>
                <w:sz w:val="24"/>
                <w:szCs w:val="24"/>
              </w:rPr>
            </w:pPr>
            <w:r>
              <w:rPr>
                <w:rFonts w:ascii="Times New Roman" w:eastAsia="宋体" w:cs="Times New Roman" w:hint="eastAsia"/>
                <w:color w:val="000000"/>
                <w:sz w:val="24"/>
                <w:szCs w:val="24"/>
              </w:rPr>
              <w:t>黄永丽</w:t>
            </w:r>
          </w:p>
        </w:tc>
      </w:tr>
      <w:tr w:rsidR="008B1F7D" w14:paraId="427DEE7D" w14:textId="77777777">
        <w:trPr>
          <w:trHeight w:val="470"/>
          <w:jc w:val="center"/>
        </w:trPr>
        <w:tc>
          <w:tcPr>
            <w:tcW w:w="2977" w:type="dxa"/>
            <w:vAlign w:val="center"/>
          </w:tcPr>
          <w:p w14:paraId="19B0648B" w14:textId="77777777" w:rsidR="008B1F7D" w:rsidRDefault="008B1F7D">
            <w:pPr>
              <w:spacing w:line="360" w:lineRule="auto"/>
              <w:jc w:val="left"/>
              <w:rPr>
                <w:rFonts w:ascii="Times New Roman" w:eastAsia="宋体" w:cs="Times New Roman"/>
                <w:color w:val="000000"/>
                <w:sz w:val="24"/>
                <w:szCs w:val="24"/>
              </w:rPr>
            </w:pPr>
          </w:p>
        </w:tc>
        <w:tc>
          <w:tcPr>
            <w:tcW w:w="2281" w:type="dxa"/>
            <w:vAlign w:val="center"/>
          </w:tcPr>
          <w:p w14:paraId="1F0DF91F" w14:textId="77777777" w:rsidR="008B1F7D" w:rsidRDefault="008B1F7D">
            <w:pPr>
              <w:jc w:val="center"/>
              <w:rPr>
                <w:rFonts w:ascii="Times New Roman" w:eastAsia="宋体" w:cs="Times New Roman"/>
                <w:color w:val="000000"/>
                <w:sz w:val="24"/>
                <w:szCs w:val="24"/>
              </w:rPr>
            </w:pPr>
          </w:p>
        </w:tc>
        <w:tc>
          <w:tcPr>
            <w:tcW w:w="1157" w:type="dxa"/>
          </w:tcPr>
          <w:p w14:paraId="761ADED1" w14:textId="77777777" w:rsidR="008B1F7D" w:rsidRDefault="008B1F7D">
            <w:pPr>
              <w:spacing w:line="360" w:lineRule="auto"/>
              <w:jc w:val="left"/>
              <w:rPr>
                <w:rFonts w:ascii="Times New Roman" w:eastAsia="宋体" w:cs="Times New Roman"/>
                <w:color w:val="000000"/>
                <w:sz w:val="24"/>
                <w:szCs w:val="24"/>
              </w:rPr>
            </w:pPr>
          </w:p>
        </w:tc>
        <w:tc>
          <w:tcPr>
            <w:tcW w:w="2220" w:type="dxa"/>
            <w:vAlign w:val="center"/>
          </w:tcPr>
          <w:p w14:paraId="7FE2FFD8" w14:textId="77777777" w:rsidR="008B1F7D" w:rsidRDefault="008B1F7D">
            <w:pPr>
              <w:spacing w:line="360" w:lineRule="auto"/>
              <w:jc w:val="center"/>
              <w:rPr>
                <w:rFonts w:ascii="Times New Roman" w:eastAsia="宋体" w:cs="Times New Roman"/>
                <w:color w:val="000000"/>
                <w:sz w:val="24"/>
                <w:szCs w:val="24"/>
              </w:rPr>
            </w:pPr>
          </w:p>
        </w:tc>
      </w:tr>
    </w:tbl>
    <w:p w14:paraId="74331656" w14:textId="77777777" w:rsidR="008B1F7D" w:rsidRDefault="008B1F7D">
      <w:pPr>
        <w:spacing w:beforeLines="50" w:before="156" w:afterLines="50" w:after="156" w:line="360" w:lineRule="auto"/>
        <w:ind w:firstLineChars="200" w:firstLine="480"/>
        <w:rPr>
          <w:rFonts w:ascii="times new" w:eastAsia="宋体" w:hAnsi="times new" w:hint="eastAsia"/>
          <w:sz w:val="24"/>
          <w:szCs w:val="24"/>
        </w:rPr>
      </w:pPr>
    </w:p>
    <w:p w14:paraId="66ECD4C8" w14:textId="77777777" w:rsidR="008B1F7D" w:rsidRDefault="008B1F7D">
      <w:pPr>
        <w:spacing w:beforeLines="50" w:before="156" w:afterLines="50" w:after="156" w:line="360" w:lineRule="auto"/>
        <w:ind w:firstLineChars="200" w:firstLine="480"/>
        <w:rPr>
          <w:rFonts w:ascii="times new" w:eastAsia="宋体" w:hAnsi="times new" w:hint="eastAsia"/>
          <w:sz w:val="24"/>
          <w:szCs w:val="24"/>
        </w:rPr>
      </w:pPr>
    </w:p>
    <w:p w14:paraId="26ABDA18" w14:textId="77777777" w:rsidR="008B1F7D" w:rsidRDefault="005C1DA5">
      <w:pPr>
        <w:spacing w:beforeLines="50" w:before="156" w:afterLines="50" w:after="156" w:line="360" w:lineRule="auto"/>
        <w:ind w:firstLineChars="200" w:firstLine="480"/>
        <w:jc w:val="right"/>
        <w:rPr>
          <w:rFonts w:ascii="times new" w:eastAsia="宋体" w:hAnsi="times new" w:hint="eastAsia"/>
          <w:sz w:val="24"/>
          <w:szCs w:val="24"/>
        </w:rPr>
      </w:pPr>
      <w:r>
        <w:rPr>
          <w:rFonts w:ascii="times new" w:eastAsia="宋体" w:hAnsi="times new" w:hint="eastAsia"/>
          <w:sz w:val="24"/>
          <w:szCs w:val="24"/>
        </w:rPr>
        <w:t>国</w:t>
      </w:r>
      <w:proofErr w:type="gramStart"/>
      <w:r>
        <w:rPr>
          <w:rFonts w:ascii="times new" w:eastAsia="宋体" w:hAnsi="times new" w:hint="eastAsia"/>
          <w:sz w:val="24"/>
          <w:szCs w:val="24"/>
        </w:rPr>
        <w:t>海证券</w:t>
      </w:r>
      <w:proofErr w:type="gramEnd"/>
      <w:r>
        <w:rPr>
          <w:rFonts w:ascii="times new" w:eastAsia="宋体" w:hAnsi="times new" w:hint="eastAsia"/>
          <w:sz w:val="24"/>
          <w:szCs w:val="24"/>
        </w:rPr>
        <w:t>股份有限公司</w:t>
      </w:r>
    </w:p>
    <w:p w14:paraId="29DA919A" w14:textId="77777777" w:rsidR="008B1F7D" w:rsidRDefault="008B1F7D">
      <w:pPr>
        <w:spacing w:beforeLines="50" w:before="156" w:afterLines="50" w:after="156" w:line="360" w:lineRule="auto"/>
        <w:ind w:firstLineChars="200" w:firstLine="480"/>
        <w:jc w:val="right"/>
        <w:rPr>
          <w:rFonts w:ascii="times new" w:eastAsia="宋体" w:hAnsi="times new" w:hint="eastAsia"/>
          <w:sz w:val="24"/>
          <w:szCs w:val="24"/>
        </w:rPr>
      </w:pPr>
    </w:p>
    <w:p w14:paraId="41109457" w14:textId="77777777" w:rsidR="008B1F7D" w:rsidRDefault="005C1DA5">
      <w:pPr>
        <w:spacing w:beforeLines="50" w:before="156" w:afterLines="50" w:after="156" w:line="360" w:lineRule="auto"/>
        <w:ind w:firstLineChars="200" w:firstLine="480"/>
        <w:jc w:val="right"/>
        <w:rPr>
          <w:rFonts w:ascii="times new" w:eastAsia="宋体" w:hAnsi="times new" w:hint="eastAsia"/>
          <w:sz w:val="24"/>
          <w:szCs w:val="24"/>
        </w:rPr>
      </w:pPr>
      <w:r>
        <w:rPr>
          <w:rFonts w:ascii="times new" w:eastAsia="宋体" w:hAnsi="times new" w:hint="eastAsia"/>
          <w:sz w:val="24"/>
          <w:szCs w:val="24"/>
        </w:rPr>
        <w:t>年</w:t>
      </w:r>
      <w:r>
        <w:rPr>
          <w:rFonts w:ascii="times new" w:eastAsia="宋体" w:hAnsi="times new"/>
          <w:sz w:val="24"/>
          <w:szCs w:val="24"/>
        </w:rPr>
        <w:t xml:space="preserve">    </w:t>
      </w:r>
      <w:r>
        <w:rPr>
          <w:rFonts w:ascii="times new" w:eastAsia="宋体" w:hAnsi="times new"/>
          <w:sz w:val="24"/>
          <w:szCs w:val="24"/>
        </w:rPr>
        <w:t>月</w:t>
      </w:r>
      <w:r>
        <w:rPr>
          <w:rFonts w:ascii="times new" w:eastAsia="宋体" w:hAnsi="times new"/>
          <w:sz w:val="24"/>
          <w:szCs w:val="24"/>
        </w:rPr>
        <w:t xml:space="preserve">   </w:t>
      </w:r>
      <w:r>
        <w:rPr>
          <w:rFonts w:ascii="times new" w:eastAsia="宋体" w:hAnsi="times new"/>
          <w:sz w:val="24"/>
          <w:szCs w:val="24"/>
        </w:rPr>
        <w:t>日</w:t>
      </w:r>
    </w:p>
    <w:p w14:paraId="3417ADD0" w14:textId="77777777" w:rsidR="008B1F7D" w:rsidRDefault="008B1F7D">
      <w:pPr>
        <w:spacing w:beforeLines="50" w:before="156" w:afterLines="50" w:after="156" w:line="360" w:lineRule="auto"/>
        <w:ind w:firstLineChars="200" w:firstLine="480"/>
        <w:rPr>
          <w:rFonts w:ascii="times new" w:eastAsia="宋体" w:hAnsi="times new" w:hint="eastAsia"/>
          <w:sz w:val="24"/>
          <w:szCs w:val="24"/>
        </w:rPr>
      </w:pPr>
    </w:p>
    <w:p w14:paraId="0B73E719" w14:textId="77777777" w:rsidR="008B1F7D" w:rsidRDefault="008B1F7D"/>
    <w:sectPr w:rsidR="008B1F7D">
      <w:foot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F902" w14:textId="77777777" w:rsidR="0070503F" w:rsidRDefault="0070503F">
      <w:r>
        <w:separator/>
      </w:r>
    </w:p>
  </w:endnote>
  <w:endnote w:type="continuationSeparator" w:id="0">
    <w:p w14:paraId="0D6CAB97" w14:textId="77777777" w:rsidR="0070503F" w:rsidRDefault="0070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uxi Sans">
    <w:altName w:val="Arial"/>
    <w:charset w:val="00"/>
    <w:family w:val="auto"/>
    <w:pitch w:val="variable"/>
  </w:font>
  <w:font w:name="黑体">
    <w:altName w:val="SimHei"/>
    <w:panose1 w:val="02010609060101010101"/>
    <w:charset w:val="86"/>
    <w:family w:val="modern"/>
    <w:pitch w:val="fixed"/>
    <w:sig w:usb0="800002BF" w:usb1="38CF7CFA" w:usb2="00000016" w:usb3="00000000" w:csb0="00040001" w:csb1="00000000"/>
  </w:font>
  <w:font w:name="FZFSJW--GB1-0">
    <w:altName w:val="Cambria"/>
    <w:charset w:val="00"/>
    <w:family w:val="roman"/>
    <w:pitch w:val="variable"/>
  </w:font>
  <w:font w:name="TimesNewRomanPSMT">
    <w:altName w:val="Times New Roman"/>
    <w:charset w:val="00"/>
    <w:family w:val="roman"/>
    <w:pitch w:val="variable"/>
    <w:sig w:usb0="00000000" w:usb1="00000000" w:usb2="00000001" w:usb3="00000000" w:csb0="400001BF" w:csb1="DFF70000"/>
  </w:font>
  <w:font w:name="times new">
    <w:altName w:val="Times New Roman"/>
    <w:charset w:val="00"/>
    <w:family w:val="auto"/>
    <w:pitch w:val="variable"/>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9161" w14:textId="77777777" w:rsidR="008B1F7D" w:rsidRDefault="008B1F7D">
    <w:pPr>
      <w:pStyle w:val="a5"/>
      <w:jc w:val="center"/>
    </w:pPr>
  </w:p>
  <w:p w14:paraId="13DC1985" w14:textId="77777777" w:rsidR="008B1F7D" w:rsidRDefault="008B1F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533072"/>
    </w:sdtPr>
    <w:sdtEndPr/>
    <w:sdtContent>
      <w:p w14:paraId="0F12EEAD" w14:textId="77777777" w:rsidR="008B1F7D" w:rsidRDefault="005C1DA5">
        <w:pPr>
          <w:pStyle w:val="a5"/>
          <w:jc w:val="center"/>
        </w:pPr>
        <w:r>
          <w:fldChar w:fldCharType="begin"/>
        </w:r>
        <w:r>
          <w:instrText>PAGE   \* MERGEFORMAT</w:instrText>
        </w:r>
        <w:r>
          <w:fldChar w:fldCharType="separate"/>
        </w:r>
        <w:r>
          <w:rPr>
            <w:rFonts w:ascii="Times New Roman"/>
            <w:lang w:val="zh-CN"/>
          </w:rPr>
          <w:t>2</w:t>
        </w:r>
        <w:r>
          <w:fldChar w:fldCharType="end"/>
        </w:r>
      </w:p>
    </w:sdtContent>
  </w:sdt>
  <w:p w14:paraId="645B0F6E" w14:textId="77777777" w:rsidR="008B1F7D" w:rsidRDefault="008B1F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209495"/>
      <w:showingPlcHdr/>
    </w:sdtPr>
    <w:sdtEndPr/>
    <w:sdtContent>
      <w:p w14:paraId="06734D1B" w14:textId="77777777" w:rsidR="008B1F7D" w:rsidRDefault="005C1DA5">
        <w:pPr>
          <w:pStyle w:val="a5"/>
          <w:jc w:val="center"/>
        </w:pPr>
        <w:r>
          <w:t xml:space="preserve">     </w:t>
        </w:r>
      </w:p>
    </w:sdtContent>
  </w:sdt>
  <w:p w14:paraId="1061B092" w14:textId="77777777" w:rsidR="008B1F7D" w:rsidRDefault="008B1F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1E8A" w14:textId="77777777" w:rsidR="0070503F" w:rsidRDefault="0070503F">
      <w:r>
        <w:separator/>
      </w:r>
    </w:p>
  </w:footnote>
  <w:footnote w:type="continuationSeparator" w:id="0">
    <w:p w14:paraId="7DCF1B83" w14:textId="77777777" w:rsidR="0070503F" w:rsidRDefault="00705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7D"/>
    <w:rsid w:val="002C5F18"/>
    <w:rsid w:val="003B2986"/>
    <w:rsid w:val="0053439E"/>
    <w:rsid w:val="005C1DA5"/>
    <w:rsid w:val="00606029"/>
    <w:rsid w:val="0070503F"/>
    <w:rsid w:val="007A57B3"/>
    <w:rsid w:val="008B1F7D"/>
    <w:rsid w:val="00945629"/>
    <w:rsid w:val="009473BB"/>
    <w:rsid w:val="00D1494B"/>
    <w:rsid w:val="00F10C66"/>
    <w:rsid w:val="00FF6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D0778"/>
  <w15:docId w15:val="{C00D8D58-A785-4FE3-8C0B-B917E3DB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cs="Arial"/>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semiHidden/>
    <w:unhideWhenUsed/>
    <w:qFormat/>
    <w:pPr>
      <w:keepNext/>
      <w:keepLines/>
      <w:spacing w:before="260" w:after="260" w:line="415" w:lineRule="auto"/>
      <w:outlineLvl w:val="1"/>
    </w:pPr>
    <w:rPr>
      <w:rFonts w:ascii="Luxi Sans" w:eastAsia="黑体" w:hAnsi="Luxi Sans"/>
      <w:b/>
      <w:sz w:val="32"/>
    </w:rPr>
  </w:style>
  <w:style w:type="paragraph" w:styleId="3">
    <w:name w:val="heading 3"/>
    <w:basedOn w:val="a"/>
    <w:next w:val="a"/>
    <w:uiPriority w:val="9"/>
    <w:semiHidden/>
    <w:unhideWhenUsed/>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TOC5">
    <w:name w:val="toc 5"/>
    <w:basedOn w:val="a"/>
    <w:next w:val="a"/>
    <w:pPr>
      <w:ind w:left="1680"/>
    </w:pPr>
  </w:style>
  <w:style w:type="paragraph" w:styleId="TOC3">
    <w:name w:val="toc 3"/>
    <w:basedOn w:val="a"/>
    <w:next w:val="a"/>
    <w:pPr>
      <w:ind w:left="840"/>
    </w:p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tyle>
  <w:style w:type="paragraph" w:styleId="TOC4">
    <w:name w:val="toc 4"/>
    <w:basedOn w:val="a"/>
    <w:next w:val="a"/>
    <w:pPr>
      <w:ind w:left="1260"/>
    </w:pPr>
  </w:style>
  <w:style w:type="paragraph" w:styleId="TOC2">
    <w:name w:val="toc 2"/>
    <w:basedOn w:val="a"/>
    <w:next w:val="a"/>
    <w:pPr>
      <w:ind w:left="420"/>
    </w:pPr>
  </w:style>
  <w:style w:type="paragraph" w:styleId="a7">
    <w:name w:val="annotation subject"/>
    <w:basedOn w:val="a3"/>
    <w:next w:val="a3"/>
    <w:rPr>
      <w:b/>
      <w:bCs/>
    </w:rPr>
  </w:style>
  <w:style w:type="character" w:styleId="a8">
    <w:name w:val="annotation reference"/>
    <w:basedOn w:val="a0"/>
    <w:rPr>
      <w:sz w:val="21"/>
      <w:szCs w:val="21"/>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character" w:customStyle="1" w:styleId="fontstyle01">
    <w:name w:val="fontstyle01"/>
    <w:basedOn w:val="a0"/>
    <w:rPr>
      <w:rFonts w:ascii="宋体" w:eastAsia="宋体"/>
      <w:color w:val="000000"/>
      <w:sz w:val="24"/>
      <w:szCs w:val="24"/>
    </w:rPr>
  </w:style>
  <w:style w:type="character" w:customStyle="1" w:styleId="fontstyle21">
    <w:name w:val="fontstyle21"/>
    <w:basedOn w:val="a0"/>
    <w:rPr>
      <w:rFonts w:ascii="FZFSJW--GB1-0" w:hAnsi="FZFSJW--GB1-0"/>
      <w:color w:val="000000"/>
      <w:sz w:val="30"/>
      <w:szCs w:val="30"/>
    </w:rPr>
  </w:style>
  <w:style w:type="character" w:customStyle="1" w:styleId="fontstyle31">
    <w:name w:val="fontstyle31"/>
    <w:basedOn w:val="a0"/>
    <w:rPr>
      <w:rFonts w:ascii="TimesNewRomanPSMT" w:hAnsi="TimesNewRomanPSMT"/>
      <w:color w:val="000000"/>
      <w:sz w:val="30"/>
      <w:szCs w:val="30"/>
    </w:rPr>
  </w:style>
  <w:style w:type="paragraph" w:customStyle="1" w:styleId="10">
    <w:name w:val="修订1"/>
    <w:rPr>
      <w:rFonts w:ascii="等线" w:eastAsia="等线" w:cs="Arial"/>
      <w:kern w:val="2"/>
      <w:sz w:val="21"/>
      <w:szCs w:val="22"/>
    </w:rPr>
  </w:style>
  <w:style w:type="paragraph" w:customStyle="1" w:styleId="20">
    <w:name w:val="修订2"/>
    <w:rPr>
      <w:rFonts w:ascii="等线" w:eastAsia="等线" w:cs="Arial"/>
      <w:kern w:val="2"/>
      <w:sz w:val="21"/>
      <w:szCs w:val="22"/>
    </w:rPr>
  </w:style>
  <w:style w:type="paragraph" w:customStyle="1" w:styleId="30">
    <w:name w:val="修订3"/>
    <w:rPr>
      <w:rFonts w:ascii="等线" w:eastAsia="等线" w:cs="Arial"/>
      <w:kern w:val="2"/>
      <w:sz w:val="21"/>
      <w:szCs w:val="22"/>
    </w:rPr>
  </w:style>
  <w:style w:type="paragraph" w:styleId="a9">
    <w:name w:val="Revision"/>
    <w:hidden/>
    <w:uiPriority w:val="99"/>
    <w:semiHidden/>
    <w:rsid w:val="003B2986"/>
    <w:rPr>
      <w:rFonts w:ascii="等线" w:eastAsia="等线" w:cs="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907</TotalTime>
  <Pages>6</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艳萍 雍</dc:creator>
  <cp:lastModifiedBy>GH-YYP</cp:lastModifiedBy>
  <cp:revision>72</cp:revision>
  <dcterms:created xsi:type="dcterms:W3CDTF">2021-11-04T09:04:00Z</dcterms:created>
  <dcterms:modified xsi:type="dcterms:W3CDTF">2022-05-09T03:16:00Z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77411665770D444AB430F0235A398E3B</vt:lpwstr>
  </property>
</Properties>
</file>